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8834B" w14:textId="0927B4C9" w:rsidR="00047240" w:rsidRDefault="00047240" w:rsidP="00047240">
      <w:r>
        <w:rPr>
          <w:rFonts w:ascii="Segoe UI Emoji" w:hAnsi="Segoe UI Emoji" w:cs="Segoe UI Emoji"/>
        </w:rPr>
        <w:t>🟣</w:t>
      </w:r>
      <w:r>
        <w:t xml:space="preserve"> FLASH DIGITAL DE LA SALA PLENA </w:t>
      </w:r>
      <w:r w:rsidR="00DB3F61">
        <w:t>31</w:t>
      </w:r>
    </w:p>
    <w:p w14:paraId="0ED19536" w14:textId="77777777" w:rsidR="00047240" w:rsidRDefault="00047240" w:rsidP="00047240">
      <w:r>
        <w:t>EXPEDIENTE D-15989</w:t>
      </w:r>
    </w:p>
    <w:p w14:paraId="1955FE9A" w14:textId="023E2064" w:rsidR="00047240" w:rsidRPr="0032544F" w:rsidRDefault="00047240" w:rsidP="00047240">
      <w:pPr>
        <w:rPr>
          <w:b/>
          <w:bCs/>
        </w:rPr>
      </w:pPr>
      <w:r w:rsidRPr="0032544F">
        <w:rPr>
          <w:b/>
          <w:bCs/>
        </w:rPr>
        <w:t xml:space="preserve">Sentencia </w:t>
      </w:r>
      <w:r w:rsidR="0032544F" w:rsidRPr="0032544F">
        <w:rPr>
          <w:b/>
          <w:bCs/>
        </w:rPr>
        <w:t>C-264 de 2024</w:t>
      </w:r>
    </w:p>
    <w:p w14:paraId="13152673" w14:textId="77777777" w:rsidR="00047240" w:rsidRDefault="00047240" w:rsidP="00047240">
      <w:r>
        <w:t>M.P. Paola Andrea Meneses Mosquera</w:t>
      </w:r>
    </w:p>
    <w:p w14:paraId="2D70CEB6" w14:textId="77777777" w:rsidR="00047240" w:rsidRDefault="00047240" w:rsidP="00047240">
      <w:pPr>
        <w:jc w:val="both"/>
      </w:pPr>
    </w:p>
    <w:p w14:paraId="5BB6FA27" w14:textId="63415DD8" w:rsidR="00047240" w:rsidRDefault="00047240" w:rsidP="00047240">
      <w:pPr>
        <w:jc w:val="both"/>
      </w:pPr>
      <w:r w:rsidRPr="00047240">
        <w:rPr>
          <w:b/>
          <w:bCs/>
        </w:rPr>
        <w:t>Tema</w:t>
      </w:r>
      <w:r>
        <w:t xml:space="preserve">: Ley 2381 de 2024: la Corte analizó si la plenaria de la Cámara de Representantes subsanó el vicio de procedimiento de la reforma pensional, identificado en el Auto 841 de 2025.  </w:t>
      </w:r>
    </w:p>
    <w:p w14:paraId="15A78270" w14:textId="77777777" w:rsidR="00047240" w:rsidRDefault="00047240" w:rsidP="00047240"/>
    <w:p w14:paraId="3BD05918" w14:textId="24C7557E" w:rsidR="001D290D" w:rsidRPr="001D290D" w:rsidRDefault="00047240" w:rsidP="001D290D">
      <w:pPr>
        <w:jc w:val="center"/>
        <w:rPr>
          <w:b/>
          <w:bCs/>
        </w:rPr>
      </w:pPr>
      <w:r w:rsidRPr="001D290D">
        <w:rPr>
          <w:b/>
          <w:bCs/>
        </w:rPr>
        <w:t>RESOLUTIVO SALA PLENA</w:t>
      </w:r>
    </w:p>
    <w:p w14:paraId="0ACE7B67" w14:textId="77777777" w:rsidR="001D290D" w:rsidRPr="001D290D" w:rsidRDefault="001D290D" w:rsidP="001D290D">
      <w:pPr>
        <w:spacing w:after="0" w:line="240" w:lineRule="auto"/>
        <w:jc w:val="both"/>
        <w:rPr>
          <w:rFonts w:ascii="Century Gothic" w:hAnsi="Century Gothic"/>
          <w:b/>
          <w:bCs/>
          <w:color w:val="000000" w:themeColor="text1"/>
          <w:sz w:val="24"/>
          <w:szCs w:val="24"/>
        </w:rPr>
      </w:pPr>
    </w:p>
    <w:p w14:paraId="2E60C2AF" w14:textId="77777777" w:rsidR="001D290D" w:rsidRPr="001D290D" w:rsidRDefault="001D290D" w:rsidP="001D290D">
      <w:pPr>
        <w:spacing w:after="0" w:line="240" w:lineRule="auto"/>
        <w:jc w:val="both"/>
        <w:rPr>
          <w:rFonts w:ascii="Century Gothic" w:hAnsi="Century Gothic"/>
          <w:b/>
          <w:bCs/>
          <w:color w:val="000000" w:themeColor="text1"/>
          <w:sz w:val="24"/>
          <w:szCs w:val="24"/>
        </w:rPr>
      </w:pPr>
      <w:r w:rsidRPr="001D290D">
        <w:rPr>
          <w:rFonts w:ascii="Century Gothic" w:hAnsi="Century Gothic"/>
          <w:b/>
          <w:bCs/>
          <w:color w:val="000000" w:themeColor="text1"/>
          <w:sz w:val="24"/>
          <w:szCs w:val="24"/>
        </w:rPr>
        <w:t xml:space="preserve">PRIMERO. </w:t>
      </w:r>
      <w:r w:rsidRPr="001D290D">
        <w:rPr>
          <w:rFonts w:ascii="Century Gothic" w:hAnsi="Century Gothic"/>
          <w:color w:val="000000" w:themeColor="text1"/>
          <w:sz w:val="24"/>
          <w:szCs w:val="24"/>
        </w:rPr>
        <w:t xml:space="preserve">Declarar la </w:t>
      </w:r>
      <w:r w:rsidRPr="001D290D">
        <w:rPr>
          <w:rFonts w:ascii="Century Gothic" w:hAnsi="Century Gothic"/>
          <w:b/>
          <w:bCs/>
          <w:color w:val="000000" w:themeColor="text1"/>
          <w:sz w:val="24"/>
          <w:szCs w:val="24"/>
        </w:rPr>
        <w:t>EXEQUIBILIDAD</w:t>
      </w:r>
      <w:r w:rsidRPr="001D290D">
        <w:rPr>
          <w:rFonts w:ascii="Century Gothic" w:hAnsi="Century Gothic"/>
          <w:color w:val="000000" w:themeColor="text1"/>
          <w:sz w:val="24"/>
          <w:szCs w:val="24"/>
        </w:rPr>
        <w:t>, exclusivamente por los vicios de procedimiento examinados en esta providencia,</w:t>
      </w:r>
      <w:r w:rsidRPr="001D290D">
        <w:rPr>
          <w:rFonts w:ascii="Century Gothic" w:hAnsi="Century Gothic"/>
          <w:b/>
          <w:bCs/>
          <w:color w:val="000000" w:themeColor="text1"/>
          <w:sz w:val="24"/>
          <w:szCs w:val="24"/>
        </w:rPr>
        <w:t xml:space="preserve"> </w:t>
      </w:r>
      <w:r w:rsidRPr="001D290D">
        <w:rPr>
          <w:rFonts w:ascii="Century Gothic" w:hAnsi="Century Gothic"/>
          <w:color w:val="000000" w:themeColor="text1"/>
          <w:sz w:val="24"/>
          <w:szCs w:val="24"/>
        </w:rPr>
        <w:t>de los artículos 1, 2, 3, 4, 5, 6, 7, 8, 9, 10, incisos 1º, 2º y 3º del artículo 11, 12, 13, 14, 15, 16, 17, 18, 19 con excepción del literal (k), 20, 21, 22, 23 con excepción del parágrafo transitorio, 24, 25, 26, 27, 28, 29, 30, 31, 32, 33, 34, 35, 37, 38, 39, 40, 41, 42, 43, 44, 45, 46, 47, 48, 49, 50, 51, 52, 53, 54, 55, 56, 57, 58, 59, 60, 61, 62, 63 con excepción del inciso 2º, 64, 65, 66, 67, 68, 69, 70, 71, 72, 73, 74, 75, 76, 77, 78, 79, 80, 81, 82, 83, 84 con excepción del numeral 5º, 85, 86, 87, 88, 89, 90, 91, 92 con excepción del inciso 1º, y 95 de</w:t>
      </w:r>
      <w:r w:rsidRPr="001D290D">
        <w:rPr>
          <w:rFonts w:ascii="Century Gothic" w:hAnsi="Century Gothic"/>
          <w:b/>
          <w:bCs/>
          <w:color w:val="000000" w:themeColor="text1"/>
          <w:sz w:val="24"/>
          <w:szCs w:val="24"/>
        </w:rPr>
        <w:t xml:space="preserve"> </w:t>
      </w:r>
      <w:r w:rsidRPr="001D290D">
        <w:rPr>
          <w:rFonts w:ascii="Century Gothic" w:hAnsi="Century Gothic"/>
          <w:color w:val="000000" w:themeColor="text1"/>
          <w:sz w:val="24"/>
          <w:szCs w:val="24"/>
        </w:rPr>
        <w:t>la Ley 2381 de 2024, “[p]</w:t>
      </w:r>
      <w:proofErr w:type="spellStart"/>
      <w:r w:rsidRPr="001D290D">
        <w:rPr>
          <w:rFonts w:ascii="Century Gothic" w:hAnsi="Century Gothic"/>
          <w:color w:val="000000" w:themeColor="text1"/>
          <w:sz w:val="24"/>
          <w:szCs w:val="24"/>
        </w:rPr>
        <w:t>or</w:t>
      </w:r>
      <w:proofErr w:type="spellEnd"/>
      <w:r w:rsidRPr="001D290D">
        <w:rPr>
          <w:rFonts w:ascii="Century Gothic" w:hAnsi="Century Gothic"/>
          <w:color w:val="000000" w:themeColor="text1"/>
          <w:sz w:val="24"/>
          <w:szCs w:val="24"/>
        </w:rPr>
        <w:t xml:space="preserve"> medio de la cual se establece el sistema de protección social integral para la vejez, invalidez y muerte de origen común, y se dictan otras disposiciones”. </w:t>
      </w:r>
    </w:p>
    <w:p w14:paraId="51198A1E" w14:textId="77777777" w:rsidR="001D290D" w:rsidRPr="001D290D" w:rsidRDefault="001D290D" w:rsidP="001D290D">
      <w:pPr>
        <w:spacing w:after="0" w:line="240" w:lineRule="auto"/>
        <w:jc w:val="both"/>
        <w:rPr>
          <w:rFonts w:ascii="Century Gothic" w:hAnsi="Century Gothic"/>
          <w:b/>
          <w:bCs/>
          <w:color w:val="000000" w:themeColor="text1"/>
          <w:sz w:val="24"/>
          <w:szCs w:val="24"/>
        </w:rPr>
      </w:pPr>
    </w:p>
    <w:p w14:paraId="5BD472DE" w14:textId="77777777" w:rsidR="001D290D" w:rsidRPr="001D290D" w:rsidRDefault="001D290D" w:rsidP="001D290D">
      <w:pPr>
        <w:spacing w:after="0" w:line="240" w:lineRule="auto"/>
        <w:jc w:val="both"/>
        <w:rPr>
          <w:rFonts w:ascii="Century Gothic" w:hAnsi="Century Gothic"/>
          <w:color w:val="000000" w:themeColor="text1"/>
          <w:sz w:val="24"/>
          <w:szCs w:val="24"/>
        </w:rPr>
      </w:pPr>
      <w:r w:rsidRPr="001D290D">
        <w:rPr>
          <w:rFonts w:ascii="Century Gothic" w:hAnsi="Century Gothic"/>
          <w:b/>
          <w:bCs/>
          <w:color w:val="000000" w:themeColor="text1"/>
          <w:sz w:val="24"/>
          <w:szCs w:val="24"/>
        </w:rPr>
        <w:t xml:space="preserve">SEGUNDO. </w:t>
      </w:r>
      <w:r w:rsidRPr="001D290D">
        <w:rPr>
          <w:rFonts w:ascii="Century Gothic" w:hAnsi="Century Gothic"/>
          <w:color w:val="000000" w:themeColor="text1"/>
          <w:sz w:val="24"/>
          <w:szCs w:val="24"/>
        </w:rPr>
        <w:t xml:space="preserve">Por Secretaría General de la Corte Constitucional, </w:t>
      </w:r>
      <w:r w:rsidRPr="001D290D">
        <w:rPr>
          <w:rFonts w:ascii="Century Gothic" w:hAnsi="Century Gothic"/>
          <w:b/>
          <w:bCs/>
          <w:color w:val="000000" w:themeColor="text1"/>
          <w:sz w:val="24"/>
          <w:szCs w:val="24"/>
        </w:rPr>
        <w:t>DEVOLVER</w:t>
      </w:r>
      <w:r w:rsidRPr="001D290D">
        <w:rPr>
          <w:rFonts w:ascii="Century Gothic" w:hAnsi="Century Gothic"/>
          <w:color w:val="000000" w:themeColor="text1"/>
          <w:sz w:val="24"/>
          <w:szCs w:val="24"/>
        </w:rPr>
        <w:t xml:space="preserve"> a la Presidencia de la Cámara de Representantes los siguientes artículos y proposiciones para que adelante el trámite de subsanación, en los términos explicados en la parte motiva de esta sentencia: </w:t>
      </w:r>
    </w:p>
    <w:p w14:paraId="0047A3EA" w14:textId="77777777" w:rsidR="001D290D" w:rsidRPr="001D290D" w:rsidRDefault="001D290D" w:rsidP="001D290D">
      <w:pPr>
        <w:spacing w:after="0" w:line="240" w:lineRule="auto"/>
        <w:jc w:val="both"/>
        <w:rPr>
          <w:rFonts w:ascii="Century Gothic" w:hAnsi="Century Gothic"/>
          <w:color w:val="000000" w:themeColor="text1"/>
          <w:sz w:val="24"/>
          <w:szCs w:val="24"/>
        </w:rPr>
      </w:pPr>
    </w:p>
    <w:tbl>
      <w:tblPr>
        <w:tblStyle w:val="Tablaconcuadrcula2"/>
        <w:tblW w:w="0" w:type="auto"/>
        <w:tblLook w:val="04A0" w:firstRow="1" w:lastRow="0" w:firstColumn="1" w:lastColumn="0" w:noHBand="0" w:noVBand="1"/>
      </w:tblPr>
      <w:tblGrid>
        <w:gridCol w:w="1755"/>
        <w:gridCol w:w="7075"/>
      </w:tblGrid>
      <w:tr w:rsidR="001D290D" w:rsidRPr="001D290D" w14:paraId="4C5646A4" w14:textId="77777777" w:rsidTr="00672BEE">
        <w:tc>
          <w:tcPr>
            <w:tcW w:w="1755" w:type="dxa"/>
            <w:shd w:val="clear" w:color="auto" w:fill="D9D9D9" w:themeFill="background1" w:themeFillShade="D9"/>
          </w:tcPr>
          <w:p w14:paraId="576805BF" w14:textId="77777777" w:rsidR="001D290D" w:rsidRPr="001D290D" w:rsidRDefault="001D290D" w:rsidP="001D290D">
            <w:pPr>
              <w:jc w:val="center"/>
              <w:rPr>
                <w:rFonts w:ascii="Century Gothic" w:hAnsi="Century Gothic" w:cs="Times New Roman"/>
                <w:b/>
                <w:bCs/>
                <w:color w:val="000000" w:themeColor="text1"/>
              </w:rPr>
            </w:pPr>
            <w:r w:rsidRPr="001D290D">
              <w:rPr>
                <w:rFonts w:ascii="Century Gothic" w:hAnsi="Century Gothic" w:cs="Times New Roman"/>
                <w:b/>
                <w:bCs/>
                <w:color w:val="000000" w:themeColor="text1"/>
              </w:rPr>
              <w:t xml:space="preserve">Inciso 4º del artículo 11 </w:t>
            </w:r>
          </w:p>
        </w:tc>
        <w:tc>
          <w:tcPr>
            <w:tcW w:w="7075" w:type="dxa"/>
          </w:tcPr>
          <w:p w14:paraId="4CB16401" w14:textId="77777777" w:rsidR="001D290D" w:rsidRPr="001D290D" w:rsidRDefault="001D290D" w:rsidP="001D290D">
            <w:pPr>
              <w:jc w:val="both"/>
              <w:rPr>
                <w:rFonts w:ascii="Century Gothic" w:hAnsi="Century Gothic" w:cs="Times New Roman"/>
                <w:color w:val="000000" w:themeColor="text1"/>
              </w:rPr>
            </w:pPr>
            <w:r w:rsidRPr="001D290D">
              <w:rPr>
                <w:rFonts w:ascii="Century Gothic" w:hAnsi="Century Gothic" w:cs="Times New Roman"/>
                <w:color w:val="000000" w:themeColor="text1"/>
              </w:rPr>
              <w:t xml:space="preserve">Se devuelve el inciso 4º del artículo 11. La plenaria de la Cámara de Representantes deberá tramitar la proposición modificativa presentada por Armando Antonio </w:t>
            </w:r>
            <w:proofErr w:type="spellStart"/>
            <w:r w:rsidRPr="001D290D">
              <w:rPr>
                <w:rFonts w:ascii="Century Gothic" w:hAnsi="Century Gothic" w:cs="Times New Roman"/>
                <w:color w:val="000000" w:themeColor="text1"/>
              </w:rPr>
              <w:t>Zabaraín</w:t>
            </w:r>
            <w:proofErr w:type="spellEnd"/>
            <w:r w:rsidRPr="001D290D">
              <w:rPr>
                <w:rFonts w:ascii="Century Gothic" w:hAnsi="Century Gothic" w:cs="Times New Roman"/>
                <w:color w:val="000000" w:themeColor="text1"/>
              </w:rPr>
              <w:t>.</w:t>
            </w:r>
          </w:p>
        </w:tc>
      </w:tr>
      <w:tr w:rsidR="001D290D" w:rsidRPr="001D290D" w14:paraId="7F77B35C" w14:textId="77777777" w:rsidTr="00672BEE">
        <w:tc>
          <w:tcPr>
            <w:tcW w:w="1755" w:type="dxa"/>
            <w:shd w:val="clear" w:color="auto" w:fill="D9D9D9" w:themeFill="background1" w:themeFillShade="D9"/>
          </w:tcPr>
          <w:p w14:paraId="24E0D7F9" w14:textId="77777777" w:rsidR="001D290D" w:rsidRPr="001D290D" w:rsidRDefault="001D290D" w:rsidP="001D290D">
            <w:pPr>
              <w:jc w:val="center"/>
              <w:rPr>
                <w:rFonts w:ascii="Century Gothic" w:hAnsi="Century Gothic" w:cs="Times New Roman"/>
                <w:b/>
                <w:bCs/>
                <w:color w:val="000000" w:themeColor="text1"/>
              </w:rPr>
            </w:pPr>
            <w:r w:rsidRPr="001D290D">
              <w:rPr>
                <w:rFonts w:ascii="Century Gothic" w:hAnsi="Century Gothic" w:cs="Times New Roman"/>
                <w:b/>
                <w:bCs/>
                <w:color w:val="000000" w:themeColor="text1"/>
              </w:rPr>
              <w:t>Artículo 14</w:t>
            </w:r>
          </w:p>
          <w:p w14:paraId="60CA2F7E" w14:textId="77777777" w:rsidR="001D290D" w:rsidRPr="001D290D" w:rsidRDefault="001D290D" w:rsidP="001D290D">
            <w:pPr>
              <w:jc w:val="center"/>
              <w:rPr>
                <w:rFonts w:ascii="Century Gothic" w:hAnsi="Century Gothic" w:cs="Times New Roman"/>
                <w:b/>
                <w:bCs/>
                <w:color w:val="000000" w:themeColor="text1"/>
              </w:rPr>
            </w:pPr>
          </w:p>
        </w:tc>
        <w:tc>
          <w:tcPr>
            <w:tcW w:w="7075" w:type="dxa"/>
          </w:tcPr>
          <w:p w14:paraId="478CCBEA" w14:textId="77777777" w:rsidR="001D290D" w:rsidRPr="001D290D" w:rsidRDefault="001D290D" w:rsidP="001D290D">
            <w:pPr>
              <w:jc w:val="both"/>
              <w:rPr>
                <w:rFonts w:ascii="Century Gothic" w:hAnsi="Century Gothic" w:cs="Times New Roman"/>
                <w:color w:val="000000" w:themeColor="text1"/>
              </w:rPr>
            </w:pPr>
            <w:r w:rsidRPr="001D290D">
              <w:rPr>
                <w:rFonts w:ascii="Century Gothic" w:hAnsi="Century Gothic" w:cs="Times New Roman"/>
                <w:color w:val="000000" w:themeColor="text1"/>
              </w:rPr>
              <w:t xml:space="preserve">La plenaria de la Cámara de Representantes deberá tramitar la proposición aditiva presentada por Armando Antonio </w:t>
            </w:r>
            <w:proofErr w:type="spellStart"/>
            <w:r w:rsidRPr="001D290D">
              <w:rPr>
                <w:rFonts w:ascii="Century Gothic" w:hAnsi="Century Gothic" w:cs="Times New Roman"/>
                <w:color w:val="000000" w:themeColor="text1"/>
              </w:rPr>
              <w:t>Zabaraín</w:t>
            </w:r>
            <w:proofErr w:type="spellEnd"/>
            <w:r w:rsidRPr="001D290D">
              <w:rPr>
                <w:rFonts w:ascii="Century Gothic" w:hAnsi="Century Gothic" w:cs="Times New Roman"/>
                <w:color w:val="000000" w:themeColor="text1"/>
              </w:rPr>
              <w:t xml:space="preserve"> </w:t>
            </w:r>
          </w:p>
        </w:tc>
      </w:tr>
      <w:tr w:rsidR="001D290D" w:rsidRPr="001D290D" w14:paraId="1CEEBE77" w14:textId="77777777" w:rsidTr="00672BEE">
        <w:tc>
          <w:tcPr>
            <w:tcW w:w="1755" w:type="dxa"/>
            <w:shd w:val="clear" w:color="auto" w:fill="D9D9D9" w:themeFill="background1" w:themeFillShade="D9"/>
          </w:tcPr>
          <w:p w14:paraId="2E28CB15" w14:textId="77777777" w:rsidR="001D290D" w:rsidRPr="001D290D" w:rsidRDefault="001D290D" w:rsidP="001D290D">
            <w:pPr>
              <w:jc w:val="center"/>
              <w:rPr>
                <w:rFonts w:ascii="Century Gothic" w:hAnsi="Century Gothic" w:cs="Times New Roman"/>
                <w:b/>
                <w:bCs/>
                <w:color w:val="000000" w:themeColor="text1"/>
              </w:rPr>
            </w:pPr>
            <w:r w:rsidRPr="001D290D">
              <w:rPr>
                <w:rFonts w:ascii="Century Gothic" w:hAnsi="Century Gothic" w:cs="Times New Roman"/>
                <w:b/>
                <w:bCs/>
                <w:color w:val="000000" w:themeColor="text1"/>
              </w:rPr>
              <w:t xml:space="preserve">Literal k del artículo 19 </w:t>
            </w:r>
          </w:p>
        </w:tc>
        <w:tc>
          <w:tcPr>
            <w:tcW w:w="7075" w:type="dxa"/>
          </w:tcPr>
          <w:p w14:paraId="6E03A570" w14:textId="77777777" w:rsidR="001D290D" w:rsidRPr="001D290D" w:rsidRDefault="001D290D" w:rsidP="001D290D">
            <w:pPr>
              <w:jc w:val="both"/>
              <w:rPr>
                <w:rFonts w:ascii="Century Gothic" w:hAnsi="Century Gothic" w:cs="Times New Roman"/>
                <w:color w:val="000000" w:themeColor="text1"/>
              </w:rPr>
            </w:pPr>
            <w:r w:rsidRPr="001D290D">
              <w:rPr>
                <w:rFonts w:ascii="Century Gothic" w:hAnsi="Century Gothic" w:cs="Times New Roman"/>
                <w:color w:val="000000" w:themeColor="text1"/>
              </w:rPr>
              <w:t xml:space="preserve">La plenaria de la Cámara de Representantes deberá tramitar la proposición presentada por Armando Antonio </w:t>
            </w:r>
            <w:proofErr w:type="spellStart"/>
            <w:r w:rsidRPr="001D290D">
              <w:rPr>
                <w:rFonts w:ascii="Century Gothic" w:hAnsi="Century Gothic" w:cs="Times New Roman"/>
                <w:color w:val="000000" w:themeColor="text1"/>
              </w:rPr>
              <w:t>Zabaraín</w:t>
            </w:r>
            <w:proofErr w:type="spellEnd"/>
          </w:p>
        </w:tc>
      </w:tr>
      <w:tr w:rsidR="001D290D" w:rsidRPr="001D290D" w14:paraId="182C196D" w14:textId="77777777" w:rsidTr="00672BEE">
        <w:tc>
          <w:tcPr>
            <w:tcW w:w="1755" w:type="dxa"/>
            <w:shd w:val="clear" w:color="auto" w:fill="D9D9D9" w:themeFill="background1" w:themeFillShade="D9"/>
          </w:tcPr>
          <w:p w14:paraId="0E0D899D" w14:textId="77777777" w:rsidR="001D290D" w:rsidRPr="001D290D" w:rsidRDefault="001D290D" w:rsidP="001D290D">
            <w:pPr>
              <w:jc w:val="center"/>
              <w:rPr>
                <w:rFonts w:ascii="Century Gothic" w:hAnsi="Century Gothic" w:cs="Times New Roman"/>
                <w:b/>
                <w:bCs/>
                <w:color w:val="000000" w:themeColor="text1"/>
              </w:rPr>
            </w:pPr>
            <w:r w:rsidRPr="001D290D">
              <w:rPr>
                <w:rFonts w:ascii="Century Gothic" w:hAnsi="Century Gothic" w:cs="Times New Roman"/>
                <w:b/>
                <w:bCs/>
                <w:color w:val="000000" w:themeColor="text1"/>
              </w:rPr>
              <w:t xml:space="preserve">parágrafo transitorio del   artículo 23 </w:t>
            </w:r>
          </w:p>
        </w:tc>
        <w:tc>
          <w:tcPr>
            <w:tcW w:w="7075" w:type="dxa"/>
          </w:tcPr>
          <w:p w14:paraId="38651038" w14:textId="77777777" w:rsidR="001D290D" w:rsidRPr="001D290D" w:rsidRDefault="001D290D" w:rsidP="001D290D">
            <w:pPr>
              <w:jc w:val="both"/>
              <w:rPr>
                <w:rFonts w:ascii="Century Gothic" w:hAnsi="Century Gothic" w:cs="Times New Roman"/>
                <w:color w:val="000000" w:themeColor="text1"/>
              </w:rPr>
            </w:pPr>
            <w:r w:rsidRPr="001D290D">
              <w:rPr>
                <w:rFonts w:ascii="Century Gothic" w:hAnsi="Century Gothic" w:cs="Times New Roman"/>
                <w:color w:val="000000" w:themeColor="text1"/>
              </w:rPr>
              <w:t>Se devuelve el parágrafo transitorio del artículo 23. La plenaria de la Cámara de Representantes deberá tramitar la proposición presentada por Jennifer Dalley Pedraza.</w:t>
            </w:r>
          </w:p>
        </w:tc>
      </w:tr>
      <w:tr w:rsidR="001D290D" w:rsidRPr="001D290D" w14:paraId="0D923903" w14:textId="77777777" w:rsidTr="00672BEE">
        <w:tc>
          <w:tcPr>
            <w:tcW w:w="1755" w:type="dxa"/>
            <w:shd w:val="clear" w:color="auto" w:fill="D9D9D9" w:themeFill="background1" w:themeFillShade="D9"/>
          </w:tcPr>
          <w:p w14:paraId="6ED81F58" w14:textId="77777777" w:rsidR="001D290D" w:rsidRPr="001D290D" w:rsidRDefault="001D290D" w:rsidP="001D290D">
            <w:pPr>
              <w:jc w:val="center"/>
              <w:rPr>
                <w:rFonts w:ascii="Century Gothic" w:hAnsi="Century Gothic" w:cs="Times New Roman"/>
                <w:b/>
                <w:bCs/>
                <w:color w:val="000000" w:themeColor="text1"/>
              </w:rPr>
            </w:pPr>
            <w:r w:rsidRPr="001D290D">
              <w:rPr>
                <w:rFonts w:ascii="Century Gothic" w:hAnsi="Century Gothic" w:cs="Times New Roman"/>
                <w:b/>
                <w:bCs/>
                <w:color w:val="000000" w:themeColor="text1"/>
              </w:rPr>
              <w:t>Artículo 36</w:t>
            </w:r>
          </w:p>
        </w:tc>
        <w:tc>
          <w:tcPr>
            <w:tcW w:w="7075" w:type="dxa"/>
          </w:tcPr>
          <w:p w14:paraId="74376E5F" w14:textId="77777777" w:rsidR="001D290D" w:rsidRPr="001D290D" w:rsidRDefault="001D290D" w:rsidP="001D290D">
            <w:pPr>
              <w:jc w:val="both"/>
              <w:rPr>
                <w:rFonts w:ascii="Century Gothic" w:hAnsi="Century Gothic" w:cs="Times New Roman"/>
                <w:color w:val="000000" w:themeColor="text1"/>
              </w:rPr>
            </w:pPr>
            <w:r w:rsidRPr="001D290D">
              <w:rPr>
                <w:rFonts w:ascii="Century Gothic" w:hAnsi="Century Gothic" w:cs="Times New Roman"/>
                <w:color w:val="000000" w:themeColor="text1"/>
              </w:rPr>
              <w:t xml:space="preserve">Se devuelve la totalidad del artículo 36. La plenaria de la Cámara de Representantes deberá tramitar la proposición presentada por Víctor Manuel Salcedo. </w:t>
            </w:r>
          </w:p>
        </w:tc>
      </w:tr>
      <w:tr w:rsidR="001D290D" w:rsidRPr="001D290D" w14:paraId="35CCEC19" w14:textId="77777777" w:rsidTr="00672BEE">
        <w:tc>
          <w:tcPr>
            <w:tcW w:w="1755" w:type="dxa"/>
            <w:shd w:val="clear" w:color="auto" w:fill="D9D9D9" w:themeFill="background1" w:themeFillShade="D9"/>
          </w:tcPr>
          <w:p w14:paraId="3DA1DD5D" w14:textId="77777777" w:rsidR="001D290D" w:rsidRPr="001D290D" w:rsidRDefault="001D290D" w:rsidP="001D290D">
            <w:pPr>
              <w:jc w:val="center"/>
              <w:rPr>
                <w:rFonts w:ascii="Century Gothic" w:hAnsi="Century Gothic" w:cs="Times New Roman"/>
                <w:b/>
                <w:bCs/>
                <w:color w:val="000000" w:themeColor="text1"/>
              </w:rPr>
            </w:pPr>
            <w:r w:rsidRPr="001D290D">
              <w:rPr>
                <w:rFonts w:ascii="Century Gothic" w:hAnsi="Century Gothic" w:cs="Times New Roman"/>
                <w:b/>
                <w:bCs/>
                <w:color w:val="000000" w:themeColor="text1"/>
              </w:rPr>
              <w:t xml:space="preserve">Inciso 2º del artículo 63 </w:t>
            </w:r>
          </w:p>
        </w:tc>
        <w:tc>
          <w:tcPr>
            <w:tcW w:w="7075" w:type="dxa"/>
          </w:tcPr>
          <w:p w14:paraId="05B6183F" w14:textId="77777777" w:rsidR="001D290D" w:rsidRPr="001D290D" w:rsidRDefault="001D290D" w:rsidP="001D290D">
            <w:pPr>
              <w:jc w:val="both"/>
              <w:rPr>
                <w:rFonts w:ascii="Century Gothic" w:hAnsi="Century Gothic" w:cs="Times New Roman"/>
                <w:color w:val="000000" w:themeColor="text1"/>
              </w:rPr>
            </w:pPr>
            <w:r w:rsidRPr="001D290D">
              <w:rPr>
                <w:rFonts w:ascii="Century Gothic" w:hAnsi="Century Gothic" w:cs="Times New Roman"/>
                <w:color w:val="000000" w:themeColor="text1"/>
              </w:rPr>
              <w:t xml:space="preserve">Se devuelve el inciso 2º del artículo 63, para que se tramite la proposición modificativa presentada por Víctor Manuel Salcedo. Además, la plenaria de la Cámara deberá tramitar la proposición aditiva presentada por el mismo representante, la cual, de aceptarse, implicaría agregar un parágrafo. </w:t>
            </w:r>
          </w:p>
        </w:tc>
      </w:tr>
      <w:tr w:rsidR="001D290D" w:rsidRPr="001D290D" w14:paraId="2096FC00" w14:textId="77777777" w:rsidTr="00672BEE">
        <w:tc>
          <w:tcPr>
            <w:tcW w:w="1755" w:type="dxa"/>
            <w:shd w:val="clear" w:color="auto" w:fill="D9D9D9" w:themeFill="background1" w:themeFillShade="D9"/>
          </w:tcPr>
          <w:p w14:paraId="118A524D" w14:textId="77777777" w:rsidR="001D290D" w:rsidRPr="001D290D" w:rsidRDefault="001D290D" w:rsidP="001D290D">
            <w:pPr>
              <w:jc w:val="center"/>
              <w:rPr>
                <w:rFonts w:ascii="Century Gothic" w:hAnsi="Century Gothic" w:cs="Times New Roman"/>
                <w:b/>
                <w:bCs/>
                <w:color w:val="000000" w:themeColor="text1"/>
              </w:rPr>
            </w:pPr>
            <w:r w:rsidRPr="001D290D">
              <w:rPr>
                <w:rFonts w:ascii="Century Gothic" w:hAnsi="Century Gothic" w:cs="Times New Roman"/>
                <w:b/>
                <w:bCs/>
                <w:color w:val="000000" w:themeColor="text1"/>
              </w:rPr>
              <w:t xml:space="preserve">Numeral 5º del artículo 84 </w:t>
            </w:r>
          </w:p>
        </w:tc>
        <w:tc>
          <w:tcPr>
            <w:tcW w:w="7075" w:type="dxa"/>
          </w:tcPr>
          <w:p w14:paraId="028417F0" w14:textId="77777777" w:rsidR="001D290D" w:rsidRPr="001D290D" w:rsidRDefault="001D290D" w:rsidP="001D290D">
            <w:pPr>
              <w:jc w:val="both"/>
              <w:rPr>
                <w:rFonts w:ascii="Century Gothic" w:hAnsi="Century Gothic" w:cs="Times New Roman"/>
                <w:color w:val="000000" w:themeColor="text1"/>
              </w:rPr>
            </w:pPr>
            <w:r w:rsidRPr="001D290D">
              <w:rPr>
                <w:rFonts w:ascii="Century Gothic" w:hAnsi="Century Gothic" w:cs="Times New Roman"/>
                <w:color w:val="000000" w:themeColor="text1"/>
              </w:rPr>
              <w:t>Se devuelve el numeral 5º del artículo 84. La plenaria de la Cámara de Representantes deberá tramitar la proposición presentada por Víctor Manuel Salcedo.</w:t>
            </w:r>
          </w:p>
        </w:tc>
      </w:tr>
      <w:tr w:rsidR="001D290D" w:rsidRPr="001D290D" w14:paraId="72A9360F" w14:textId="77777777" w:rsidTr="00672BEE">
        <w:tc>
          <w:tcPr>
            <w:tcW w:w="1755" w:type="dxa"/>
            <w:shd w:val="clear" w:color="auto" w:fill="D9D9D9" w:themeFill="background1" w:themeFillShade="D9"/>
          </w:tcPr>
          <w:p w14:paraId="5B4E4D1D" w14:textId="77777777" w:rsidR="001D290D" w:rsidRPr="001D290D" w:rsidRDefault="001D290D" w:rsidP="001D290D">
            <w:pPr>
              <w:jc w:val="center"/>
              <w:rPr>
                <w:rFonts w:ascii="Century Gothic" w:hAnsi="Century Gothic"/>
                <w:b/>
                <w:bCs/>
                <w:color w:val="000000" w:themeColor="text1"/>
              </w:rPr>
            </w:pPr>
            <w:r w:rsidRPr="001D290D">
              <w:rPr>
                <w:rFonts w:ascii="Century Gothic" w:hAnsi="Century Gothic"/>
                <w:b/>
                <w:bCs/>
                <w:color w:val="000000" w:themeColor="text1"/>
              </w:rPr>
              <w:lastRenderedPageBreak/>
              <w:t xml:space="preserve">Inciso 1º del artículo 92 </w:t>
            </w:r>
          </w:p>
        </w:tc>
        <w:tc>
          <w:tcPr>
            <w:tcW w:w="7075" w:type="dxa"/>
          </w:tcPr>
          <w:p w14:paraId="65F13C75" w14:textId="77777777" w:rsidR="001D290D" w:rsidRPr="001D290D" w:rsidRDefault="001D290D" w:rsidP="001D290D">
            <w:pPr>
              <w:jc w:val="both"/>
              <w:rPr>
                <w:rFonts w:ascii="Century Gothic" w:hAnsi="Century Gothic"/>
                <w:color w:val="000000" w:themeColor="text1"/>
              </w:rPr>
            </w:pPr>
            <w:r w:rsidRPr="001D290D">
              <w:rPr>
                <w:rFonts w:ascii="Century Gothic" w:hAnsi="Century Gothic"/>
                <w:color w:val="000000" w:themeColor="text1"/>
              </w:rPr>
              <w:t>Se devuelve el inciso 1º del artículo 92. La plenaria de la Cámara de Representantes deberá tramitar la proposición presentada por Víctor Manuel Salcedo</w:t>
            </w:r>
          </w:p>
        </w:tc>
      </w:tr>
      <w:tr w:rsidR="001D290D" w:rsidRPr="001D290D" w14:paraId="65EF0813" w14:textId="77777777" w:rsidTr="00672BEE">
        <w:tc>
          <w:tcPr>
            <w:tcW w:w="1755" w:type="dxa"/>
            <w:shd w:val="clear" w:color="auto" w:fill="D9D9D9" w:themeFill="background1" w:themeFillShade="D9"/>
          </w:tcPr>
          <w:p w14:paraId="608BCA52" w14:textId="77777777" w:rsidR="001D290D" w:rsidRPr="001D290D" w:rsidRDefault="001D290D" w:rsidP="001D290D">
            <w:pPr>
              <w:jc w:val="center"/>
              <w:rPr>
                <w:rFonts w:ascii="Century Gothic" w:hAnsi="Century Gothic"/>
                <w:b/>
                <w:bCs/>
                <w:color w:val="000000" w:themeColor="text1"/>
              </w:rPr>
            </w:pPr>
            <w:r w:rsidRPr="001D290D">
              <w:rPr>
                <w:rFonts w:ascii="Century Gothic" w:hAnsi="Century Gothic"/>
                <w:b/>
                <w:bCs/>
                <w:color w:val="000000" w:themeColor="text1"/>
              </w:rPr>
              <w:t>Artículo 93</w:t>
            </w:r>
          </w:p>
        </w:tc>
        <w:tc>
          <w:tcPr>
            <w:tcW w:w="7075" w:type="dxa"/>
          </w:tcPr>
          <w:p w14:paraId="6DDD82C7" w14:textId="77777777" w:rsidR="001D290D" w:rsidRPr="001D290D" w:rsidRDefault="001D290D" w:rsidP="001D290D">
            <w:pPr>
              <w:jc w:val="both"/>
              <w:rPr>
                <w:rFonts w:ascii="Century Gothic" w:hAnsi="Century Gothic"/>
                <w:color w:val="000000" w:themeColor="text1"/>
              </w:rPr>
            </w:pPr>
            <w:r w:rsidRPr="001D290D">
              <w:rPr>
                <w:rFonts w:ascii="Century Gothic" w:hAnsi="Century Gothic"/>
                <w:color w:val="000000" w:themeColor="text1"/>
              </w:rPr>
              <w:t>Se devuelve la totalidad del artículo 93. La plenaria de la Cámara de Representantes deberá tramitar la proposición presentada por Víctor Manuel Salcedo.</w:t>
            </w:r>
          </w:p>
        </w:tc>
      </w:tr>
      <w:tr w:rsidR="001D290D" w:rsidRPr="001D290D" w14:paraId="13B2361F" w14:textId="77777777" w:rsidTr="00672BEE">
        <w:tc>
          <w:tcPr>
            <w:tcW w:w="1755" w:type="dxa"/>
            <w:shd w:val="clear" w:color="auto" w:fill="D9D9D9" w:themeFill="background1" w:themeFillShade="D9"/>
          </w:tcPr>
          <w:p w14:paraId="1E159D71" w14:textId="77777777" w:rsidR="001D290D" w:rsidRPr="001D290D" w:rsidRDefault="001D290D" w:rsidP="001D290D">
            <w:pPr>
              <w:jc w:val="center"/>
              <w:rPr>
                <w:rFonts w:ascii="Century Gothic" w:hAnsi="Century Gothic"/>
                <w:b/>
                <w:bCs/>
                <w:color w:val="000000" w:themeColor="text1"/>
              </w:rPr>
            </w:pPr>
            <w:r w:rsidRPr="001D290D">
              <w:rPr>
                <w:rFonts w:ascii="Century Gothic" w:hAnsi="Century Gothic"/>
                <w:b/>
                <w:bCs/>
                <w:color w:val="000000" w:themeColor="text1"/>
              </w:rPr>
              <w:t xml:space="preserve">Proposición para un artículo nuevo </w:t>
            </w:r>
          </w:p>
        </w:tc>
        <w:tc>
          <w:tcPr>
            <w:tcW w:w="7075" w:type="dxa"/>
          </w:tcPr>
          <w:p w14:paraId="3E45B80A" w14:textId="77777777" w:rsidR="001D290D" w:rsidRPr="001D290D" w:rsidRDefault="001D290D" w:rsidP="001D290D">
            <w:pPr>
              <w:jc w:val="both"/>
              <w:rPr>
                <w:rFonts w:ascii="Century Gothic" w:hAnsi="Century Gothic"/>
                <w:color w:val="000000" w:themeColor="text1"/>
              </w:rPr>
            </w:pPr>
            <w:r w:rsidRPr="001D290D">
              <w:rPr>
                <w:rFonts w:ascii="Century Gothic" w:hAnsi="Century Gothic"/>
                <w:color w:val="000000" w:themeColor="text1"/>
              </w:rPr>
              <w:t xml:space="preserve">La plenaria de la Cámara de Representantes deberá tramitar la proposición para incluir un artículo nuevo presentada por Jennifer Dalley Pedraza. </w:t>
            </w:r>
          </w:p>
        </w:tc>
      </w:tr>
    </w:tbl>
    <w:p w14:paraId="36D2F89D" w14:textId="77777777" w:rsidR="001D290D" w:rsidRPr="001D290D" w:rsidRDefault="001D290D" w:rsidP="001D290D">
      <w:pPr>
        <w:spacing w:after="0" w:line="240" w:lineRule="auto"/>
        <w:jc w:val="both"/>
        <w:rPr>
          <w:rFonts w:ascii="Century Gothic" w:hAnsi="Century Gothic"/>
          <w:color w:val="000000" w:themeColor="text1"/>
          <w:sz w:val="24"/>
          <w:szCs w:val="24"/>
        </w:rPr>
      </w:pPr>
    </w:p>
    <w:p w14:paraId="56985F19" w14:textId="77777777" w:rsidR="001D290D" w:rsidRPr="001D290D" w:rsidRDefault="001D290D" w:rsidP="001D290D">
      <w:pPr>
        <w:shd w:val="clear" w:color="auto" w:fill="FFFFFF"/>
        <w:spacing w:after="0" w:line="240" w:lineRule="auto"/>
        <w:jc w:val="both"/>
        <w:textAlignment w:val="baseline"/>
        <w:rPr>
          <w:rFonts w:ascii="Century Gothic" w:eastAsia="Times New Roman" w:hAnsi="Century Gothic" w:cs="Times New Roman"/>
          <w:sz w:val="24"/>
          <w:szCs w:val="24"/>
          <w:lang w:eastAsia="es-MX"/>
        </w:rPr>
      </w:pPr>
      <w:r w:rsidRPr="001D290D">
        <w:rPr>
          <w:rFonts w:ascii="Century Gothic" w:eastAsia="Times New Roman" w:hAnsi="Century Gothic" w:cs="Times New Roman"/>
          <w:sz w:val="24"/>
          <w:szCs w:val="24"/>
          <w:lang w:eastAsia="es-MX"/>
        </w:rPr>
        <w:t>Para cumplir con lo anterior, la Plenaria de la Cámara de Representantes tendrá un plazo máximo de treinta (30) días hábiles contados a partir de la notificación de esta sentencia. En caso de que sea necesario recurrir al trámite de conciliación entre las dos cámaras legislativas (art. 161 de la CP), únicamente respecto de las disposiciones antes mencionadas que requieren subsanación, este trámite deberá surtirse en la presente legislatura.</w:t>
      </w:r>
    </w:p>
    <w:p w14:paraId="2E852789" w14:textId="77777777" w:rsidR="001D290D" w:rsidRPr="001D290D" w:rsidRDefault="001D290D" w:rsidP="001D290D">
      <w:pPr>
        <w:shd w:val="clear" w:color="auto" w:fill="FFFFFF"/>
        <w:spacing w:after="0" w:line="240" w:lineRule="auto"/>
        <w:jc w:val="both"/>
        <w:textAlignment w:val="baseline"/>
        <w:rPr>
          <w:rFonts w:ascii="Century Gothic" w:eastAsia="Times New Roman" w:hAnsi="Century Gothic" w:cs="Times New Roman"/>
          <w:sz w:val="24"/>
          <w:szCs w:val="24"/>
          <w:lang w:eastAsia="es-MX"/>
        </w:rPr>
      </w:pPr>
    </w:p>
    <w:p w14:paraId="454A8A5C" w14:textId="77777777" w:rsidR="001D290D" w:rsidRPr="001D290D" w:rsidRDefault="001D290D" w:rsidP="001D290D">
      <w:pPr>
        <w:shd w:val="clear" w:color="auto" w:fill="FFFFFF"/>
        <w:spacing w:after="0" w:line="240" w:lineRule="auto"/>
        <w:jc w:val="both"/>
        <w:textAlignment w:val="baseline"/>
        <w:rPr>
          <w:rFonts w:ascii="Century Gothic" w:eastAsia="Times New Roman" w:hAnsi="Century Gothic" w:cs="Times New Roman"/>
          <w:sz w:val="24"/>
          <w:szCs w:val="24"/>
          <w:lang w:eastAsia="es-MX"/>
        </w:rPr>
      </w:pPr>
      <w:r w:rsidRPr="001D290D">
        <w:rPr>
          <w:rFonts w:ascii="Century Gothic" w:eastAsia="Times New Roman" w:hAnsi="Century Gothic" w:cs="Times New Roman"/>
          <w:b/>
          <w:bCs/>
          <w:sz w:val="24"/>
          <w:szCs w:val="24"/>
          <w:lang w:eastAsia="es-MX"/>
        </w:rPr>
        <w:t>TERCERO</w:t>
      </w:r>
      <w:r w:rsidRPr="001D290D">
        <w:rPr>
          <w:rFonts w:ascii="Century Gothic" w:eastAsia="Times New Roman" w:hAnsi="Century Gothic" w:cs="Times New Roman"/>
          <w:sz w:val="24"/>
          <w:szCs w:val="24"/>
          <w:lang w:eastAsia="es-MX"/>
        </w:rPr>
        <w:t xml:space="preserve">. </w:t>
      </w:r>
      <w:r w:rsidRPr="001D290D">
        <w:rPr>
          <w:rFonts w:ascii="Century Gothic" w:eastAsia="Times New Roman" w:hAnsi="Century Gothic" w:cs="Times New Roman"/>
          <w:b/>
          <w:bCs/>
          <w:sz w:val="24"/>
          <w:szCs w:val="24"/>
          <w:lang w:eastAsia="es-MX"/>
        </w:rPr>
        <w:t>ORDENAR</w:t>
      </w:r>
      <w:r w:rsidRPr="001D290D">
        <w:rPr>
          <w:rFonts w:ascii="Century Gothic" w:eastAsia="Times New Roman" w:hAnsi="Century Gothic" w:cs="Times New Roman"/>
          <w:sz w:val="24"/>
          <w:szCs w:val="24"/>
          <w:lang w:eastAsia="es-MX"/>
        </w:rPr>
        <w:t xml:space="preserve"> al presidente de la Cámara de Representantes que, vencido el término de que trata el numeral anterior, </w:t>
      </w:r>
      <w:r w:rsidRPr="001D290D">
        <w:rPr>
          <w:rFonts w:ascii="Century Gothic" w:eastAsia="Times New Roman" w:hAnsi="Century Gothic" w:cs="Times New Roman"/>
          <w:b/>
          <w:bCs/>
          <w:sz w:val="24"/>
          <w:szCs w:val="24"/>
          <w:lang w:eastAsia="es-MX"/>
        </w:rPr>
        <w:t>RINDA INFORME</w:t>
      </w:r>
      <w:r w:rsidRPr="001D290D">
        <w:rPr>
          <w:rFonts w:ascii="Century Gothic" w:eastAsia="Times New Roman" w:hAnsi="Century Gothic" w:cs="Times New Roman"/>
          <w:sz w:val="24"/>
          <w:szCs w:val="24"/>
          <w:lang w:eastAsia="es-MX"/>
        </w:rPr>
        <w:t xml:space="preserve"> a la Corte Constitucional sobre el cumplimiento de la presente sentencia y remita copia de las respectivas actas de Plenaria y demás documentos pertinentes, para que esta corporación se pronuncie sobre la constitucionalidad de las disposiciones que fueron devueltas para su trámite de subsanación.</w:t>
      </w:r>
    </w:p>
    <w:p w14:paraId="57AAD239" w14:textId="77777777" w:rsidR="001D290D" w:rsidRPr="001D290D" w:rsidRDefault="001D290D" w:rsidP="001D290D">
      <w:pPr>
        <w:shd w:val="clear" w:color="auto" w:fill="FFFFFF"/>
        <w:spacing w:after="0" w:line="240" w:lineRule="auto"/>
        <w:jc w:val="both"/>
        <w:textAlignment w:val="baseline"/>
        <w:rPr>
          <w:rFonts w:ascii="Century Gothic" w:eastAsia="Times New Roman" w:hAnsi="Century Gothic" w:cs="Times New Roman"/>
          <w:sz w:val="24"/>
          <w:szCs w:val="24"/>
          <w:lang w:eastAsia="es-MX"/>
        </w:rPr>
      </w:pPr>
    </w:p>
    <w:p w14:paraId="4F4FB6A3" w14:textId="77777777" w:rsidR="001D290D" w:rsidRPr="001D290D" w:rsidRDefault="001D290D" w:rsidP="001D290D">
      <w:pPr>
        <w:shd w:val="clear" w:color="auto" w:fill="FFFFFF"/>
        <w:spacing w:after="0" w:line="240" w:lineRule="auto"/>
        <w:jc w:val="both"/>
        <w:textAlignment w:val="baseline"/>
        <w:rPr>
          <w:rFonts w:ascii="Century Gothic" w:eastAsia="Times New Roman" w:hAnsi="Century Gothic" w:cs="Times New Roman"/>
          <w:sz w:val="24"/>
          <w:szCs w:val="24"/>
          <w:lang w:eastAsia="es-MX"/>
        </w:rPr>
      </w:pPr>
      <w:r w:rsidRPr="001D290D">
        <w:rPr>
          <w:rFonts w:ascii="Century Gothic" w:eastAsia="Times New Roman" w:hAnsi="Century Gothic" w:cs="Times New Roman"/>
          <w:b/>
          <w:bCs/>
          <w:sz w:val="24"/>
          <w:szCs w:val="24"/>
          <w:lang w:eastAsia="es-MX"/>
        </w:rPr>
        <w:t>CUARTO</w:t>
      </w:r>
      <w:r w:rsidRPr="001D290D">
        <w:rPr>
          <w:rFonts w:ascii="Century Gothic" w:eastAsia="Times New Roman" w:hAnsi="Century Gothic" w:cs="Times New Roman"/>
          <w:sz w:val="24"/>
          <w:szCs w:val="24"/>
          <w:lang w:eastAsia="es-MX"/>
        </w:rPr>
        <w:t xml:space="preserve">. </w:t>
      </w:r>
      <w:r w:rsidRPr="001D290D">
        <w:rPr>
          <w:rFonts w:ascii="Century Gothic" w:eastAsia="Times New Roman" w:hAnsi="Century Gothic" w:cs="Times New Roman"/>
          <w:b/>
          <w:bCs/>
          <w:sz w:val="24"/>
          <w:szCs w:val="24"/>
          <w:lang w:eastAsia="es-MX"/>
        </w:rPr>
        <w:t>DECLARAR</w:t>
      </w:r>
      <w:r w:rsidRPr="001D290D">
        <w:rPr>
          <w:rFonts w:ascii="Century Gothic" w:eastAsia="Times New Roman" w:hAnsi="Century Gothic" w:cs="Times New Roman"/>
          <w:sz w:val="24"/>
          <w:szCs w:val="24"/>
          <w:lang w:eastAsia="es-MX"/>
        </w:rPr>
        <w:t xml:space="preserve"> la </w:t>
      </w:r>
      <w:r w:rsidRPr="001D290D">
        <w:rPr>
          <w:rFonts w:ascii="Century Gothic" w:eastAsia="Times New Roman" w:hAnsi="Century Gothic" w:cs="Times New Roman"/>
          <w:b/>
          <w:bCs/>
          <w:sz w:val="24"/>
          <w:szCs w:val="24"/>
          <w:lang w:eastAsia="es-MX"/>
        </w:rPr>
        <w:t>EXEQUIBILIDAD</w:t>
      </w:r>
      <w:r w:rsidRPr="001D290D">
        <w:rPr>
          <w:rFonts w:ascii="Century Gothic" w:eastAsia="Times New Roman" w:hAnsi="Century Gothic" w:cs="Times New Roman"/>
          <w:sz w:val="24"/>
          <w:szCs w:val="24"/>
          <w:lang w:eastAsia="es-MX"/>
        </w:rPr>
        <w:t xml:space="preserve"> del artículo 94 de la Ley 2381 de 2024, en el entendido de que las disposiciones declaradas exequibles en el resolutivo primero entrarán en vigencia a partir del 1 de abril de 2027. </w:t>
      </w:r>
    </w:p>
    <w:p w14:paraId="401E7490" w14:textId="77777777" w:rsidR="001D290D" w:rsidRPr="001D290D" w:rsidRDefault="001D290D" w:rsidP="001D290D">
      <w:pPr>
        <w:shd w:val="clear" w:color="auto" w:fill="FFFFFF"/>
        <w:spacing w:after="0" w:line="240" w:lineRule="auto"/>
        <w:jc w:val="both"/>
        <w:textAlignment w:val="baseline"/>
        <w:rPr>
          <w:rFonts w:ascii="Century Gothic" w:eastAsia="Times New Roman" w:hAnsi="Century Gothic" w:cs="Times New Roman"/>
          <w:sz w:val="24"/>
          <w:szCs w:val="24"/>
          <w:lang w:eastAsia="es-MX"/>
        </w:rPr>
      </w:pPr>
    </w:p>
    <w:p w14:paraId="6B6AA0FC" w14:textId="77777777" w:rsidR="001D290D" w:rsidRPr="001D290D" w:rsidRDefault="001D290D" w:rsidP="001D290D">
      <w:pPr>
        <w:shd w:val="clear" w:color="auto" w:fill="FFFFFF"/>
        <w:spacing w:after="0" w:line="240" w:lineRule="auto"/>
        <w:jc w:val="both"/>
        <w:textAlignment w:val="baseline"/>
        <w:rPr>
          <w:rFonts w:ascii="Century Gothic" w:eastAsia="Times New Roman" w:hAnsi="Century Gothic" w:cs="Times New Roman"/>
          <w:sz w:val="24"/>
          <w:szCs w:val="24"/>
          <w:lang w:eastAsia="es-MX"/>
        </w:rPr>
      </w:pPr>
      <w:r w:rsidRPr="001D290D">
        <w:rPr>
          <w:rFonts w:ascii="Century Gothic" w:eastAsia="Times New Roman" w:hAnsi="Century Gothic" w:cs="Times New Roman"/>
          <w:b/>
          <w:bCs/>
          <w:sz w:val="24"/>
          <w:szCs w:val="24"/>
          <w:lang w:eastAsia="es-MX"/>
        </w:rPr>
        <w:t>QUINTO.</w:t>
      </w:r>
      <w:r w:rsidRPr="001D290D">
        <w:rPr>
          <w:rFonts w:ascii="Century Gothic" w:eastAsia="Times New Roman" w:hAnsi="Century Gothic" w:cs="Times New Roman"/>
          <w:sz w:val="24"/>
          <w:szCs w:val="24"/>
          <w:lang w:eastAsia="es-MX"/>
        </w:rPr>
        <w:t xml:space="preserve"> La </w:t>
      </w:r>
      <w:proofErr w:type="spellStart"/>
      <w:r w:rsidRPr="001D290D">
        <w:rPr>
          <w:rFonts w:ascii="Century Gothic" w:eastAsia="Times New Roman" w:hAnsi="Century Gothic" w:cs="Times New Roman"/>
          <w:sz w:val="24"/>
          <w:szCs w:val="24"/>
          <w:lang w:eastAsia="es-MX"/>
        </w:rPr>
        <w:t>exequibilidad</w:t>
      </w:r>
      <w:proofErr w:type="spellEnd"/>
      <w:r w:rsidRPr="001D290D">
        <w:rPr>
          <w:rFonts w:ascii="Century Gothic" w:eastAsia="Times New Roman" w:hAnsi="Century Gothic" w:cs="Times New Roman"/>
          <w:sz w:val="24"/>
          <w:szCs w:val="24"/>
          <w:lang w:eastAsia="es-MX"/>
        </w:rPr>
        <w:t xml:space="preserve"> y vigencia de las disposiciones que la Corte ordena devolver mediante el resolutivo segundo estarán condicionadas al procedimiento de subsanación. </w:t>
      </w:r>
    </w:p>
    <w:p w14:paraId="74AEDA3B" w14:textId="77777777" w:rsidR="001D290D" w:rsidRPr="001D290D" w:rsidRDefault="001D290D" w:rsidP="001D290D">
      <w:pPr>
        <w:shd w:val="clear" w:color="auto" w:fill="FFFFFF"/>
        <w:spacing w:after="0" w:line="240" w:lineRule="auto"/>
        <w:jc w:val="both"/>
        <w:textAlignment w:val="baseline"/>
        <w:rPr>
          <w:rFonts w:ascii="Century Gothic" w:eastAsia="Times New Roman" w:hAnsi="Century Gothic" w:cs="Times New Roman"/>
          <w:sz w:val="24"/>
          <w:szCs w:val="24"/>
          <w:lang w:eastAsia="es-MX"/>
        </w:rPr>
      </w:pPr>
    </w:p>
    <w:p w14:paraId="72F6FED8" w14:textId="77777777" w:rsidR="001D290D" w:rsidRPr="001D290D" w:rsidRDefault="001D290D" w:rsidP="001D290D">
      <w:pPr>
        <w:shd w:val="clear" w:color="auto" w:fill="FFFFFF"/>
        <w:spacing w:after="0" w:line="240" w:lineRule="auto"/>
        <w:jc w:val="both"/>
        <w:textAlignment w:val="baseline"/>
        <w:rPr>
          <w:rFonts w:ascii="Century Gothic" w:eastAsia="Times New Roman" w:hAnsi="Century Gothic" w:cs="Times New Roman"/>
          <w:sz w:val="24"/>
          <w:szCs w:val="24"/>
          <w:lang w:eastAsia="es-MX"/>
        </w:rPr>
      </w:pPr>
      <w:r w:rsidRPr="001D290D">
        <w:rPr>
          <w:rFonts w:ascii="Century Gothic" w:eastAsia="Times New Roman" w:hAnsi="Century Gothic" w:cs="Times New Roman"/>
          <w:b/>
          <w:bCs/>
          <w:sz w:val="24"/>
          <w:szCs w:val="24"/>
          <w:lang w:eastAsia="es-MX"/>
        </w:rPr>
        <w:t>SEXTO</w:t>
      </w:r>
      <w:r w:rsidRPr="001D290D">
        <w:rPr>
          <w:rFonts w:ascii="Century Gothic" w:eastAsia="Times New Roman" w:hAnsi="Century Gothic" w:cs="Times New Roman"/>
          <w:sz w:val="24"/>
          <w:szCs w:val="24"/>
          <w:lang w:eastAsia="es-MX"/>
        </w:rPr>
        <w:t>. </w:t>
      </w:r>
      <w:r w:rsidRPr="001D290D">
        <w:rPr>
          <w:rFonts w:ascii="Century Gothic" w:eastAsia="Times New Roman" w:hAnsi="Century Gothic" w:cs="Times New Roman"/>
          <w:b/>
          <w:bCs/>
          <w:sz w:val="24"/>
          <w:szCs w:val="24"/>
          <w:lang w:eastAsia="es-MX"/>
        </w:rPr>
        <w:t>EXTENDER LA SUSPENSIÓN</w:t>
      </w:r>
      <w:r w:rsidRPr="001D290D">
        <w:rPr>
          <w:rFonts w:ascii="Century Gothic" w:eastAsia="Times New Roman" w:hAnsi="Century Gothic" w:cs="Times New Roman"/>
          <w:sz w:val="24"/>
          <w:szCs w:val="24"/>
          <w:lang w:eastAsia="es-MX"/>
        </w:rPr>
        <w:t> de los términos para la tramitación de los procesos que cursen o llegaren a cursar ante la Corte Constitucional, por demandas instauradas contra la Ley 2381 de 2024, hasta el 1º de abril de 2027. La Secretaría General de la Corte Constitucional realizará las anotaciones que correspondan en los expedientes respectivos.</w:t>
      </w:r>
    </w:p>
    <w:p w14:paraId="0F10991C" w14:textId="77777777" w:rsidR="001D290D" w:rsidRDefault="001D290D" w:rsidP="00047240"/>
    <w:p w14:paraId="7E87FCBD" w14:textId="77777777" w:rsidR="00047240" w:rsidRDefault="00047240" w:rsidP="00047240"/>
    <w:p w14:paraId="41F7CB62" w14:textId="5AFC7EB7" w:rsidR="00047240" w:rsidRDefault="00047240" w:rsidP="00047240">
      <w:r>
        <w:t xml:space="preserve">Votación </w:t>
      </w:r>
      <w:r>
        <w:rPr>
          <w:rFonts w:ascii="Segoe UI Emoji" w:hAnsi="Segoe UI Emoji" w:cs="Segoe UI Emoji"/>
        </w:rPr>
        <w:t>➡</w:t>
      </w:r>
      <w:r>
        <w:t>️</w:t>
      </w:r>
      <w:r w:rsidR="001D290D">
        <w:t xml:space="preserve"> 7-1. Salvamento Carlos Pablo Márquez (Conjuez)</w:t>
      </w:r>
    </w:p>
    <w:p w14:paraId="5A4237A8" w14:textId="77777777" w:rsidR="00047240" w:rsidRDefault="00047240" w:rsidP="00047240"/>
    <w:p w14:paraId="395E05B1" w14:textId="77777777" w:rsidR="00047240" w:rsidRDefault="00047240" w:rsidP="00047240">
      <w:r>
        <w:t xml:space="preserve">Link del expediente: https://www.corteconstitucional.gov.co/secretaria/expediente?proceso=1&amp;expediente=D0015989&amp;lista=datosExpedientes_1786455327731 </w:t>
      </w:r>
    </w:p>
    <w:p w14:paraId="670D3316" w14:textId="77777777" w:rsidR="00047240" w:rsidRDefault="00047240" w:rsidP="00047240"/>
    <w:p w14:paraId="06EE2AE7" w14:textId="5DBA19CF" w:rsidR="00344E68" w:rsidRDefault="00047240" w:rsidP="00047240">
      <w:r>
        <w:t xml:space="preserve">NOTA ACLARATORIA: Este flash informativo no sustituye el comunicado oficial de la Corporación, ni la sentencia del expediente estudiado. Tiene como objetivo comunicar e informar, en términos </w:t>
      </w:r>
      <w:r>
        <w:lastRenderedPageBreak/>
        <w:t>de igualdad de condiciones y de acceso oportuno a la información pública, sobre la decisión proferida, en su parte resolutiva, por la Sala Plena de la Corte, en el asunto de la referencia. Los fundamentos de esta decisión se harán públicos a través de los medios inicialmente señalados, conforme se dispone en los Decretos 2067 y 2591 de 1991, y la Ley Estatutaria de Administración de Justicia.</w:t>
      </w:r>
    </w:p>
    <w:p w14:paraId="477CFB15" w14:textId="20B92926" w:rsidR="00047240" w:rsidRDefault="00047240" w:rsidP="00047240"/>
    <w:p w14:paraId="7A6C6C72" w14:textId="2C8942DB" w:rsidR="00047240" w:rsidRDefault="00047240" w:rsidP="00047240"/>
    <w:p w14:paraId="28D6A5B3" w14:textId="4D9F8B35" w:rsidR="00047240" w:rsidRDefault="00047240" w:rsidP="00047240"/>
    <w:p w14:paraId="7CAC5F85" w14:textId="7BD96766" w:rsidR="00047240" w:rsidRDefault="00047240" w:rsidP="00047240"/>
    <w:p w14:paraId="5E60BE72" w14:textId="40770823" w:rsidR="00047240" w:rsidRDefault="00047240" w:rsidP="00047240"/>
    <w:p w14:paraId="317FEFB2" w14:textId="141B565C" w:rsidR="00047240" w:rsidRDefault="00047240" w:rsidP="00047240"/>
    <w:p w14:paraId="77CCC0F7" w14:textId="0513B0C1" w:rsidR="00047240" w:rsidRDefault="00047240" w:rsidP="00047240"/>
    <w:p w14:paraId="5F709AAD" w14:textId="7DEAD262" w:rsidR="00047240" w:rsidRDefault="00047240" w:rsidP="00047240"/>
    <w:p w14:paraId="3495FD40" w14:textId="79215FA1" w:rsidR="00047240" w:rsidRDefault="00047240" w:rsidP="00047240"/>
    <w:p w14:paraId="105EAC76" w14:textId="1B0ADFD8" w:rsidR="00047240" w:rsidRDefault="00047240" w:rsidP="00047240"/>
    <w:p w14:paraId="0B3A250F" w14:textId="50AC5DC8" w:rsidR="00047240" w:rsidRDefault="00047240" w:rsidP="00047240"/>
    <w:p w14:paraId="7F96975F" w14:textId="4F3A0FEC" w:rsidR="00047240" w:rsidRDefault="00047240" w:rsidP="00047240"/>
    <w:p w14:paraId="0181A6AE" w14:textId="65E421CC" w:rsidR="00047240" w:rsidRDefault="00047240" w:rsidP="00047240"/>
    <w:p w14:paraId="5521515A" w14:textId="7A3ADA02" w:rsidR="00047240" w:rsidRDefault="00047240" w:rsidP="00047240"/>
    <w:p w14:paraId="3ECA89A5" w14:textId="77777777" w:rsidR="00047240" w:rsidRDefault="00047240" w:rsidP="00047240"/>
    <w:sectPr w:rsidR="00047240" w:rsidSect="00A82FB4">
      <w:type w:val="continuous"/>
      <w:pgSz w:w="12242" w:h="18722" w:code="14"/>
      <w:pgMar w:top="1701" w:right="1701" w:bottom="1701" w:left="1701" w:header="709" w:footer="709" w:gutter="0"/>
      <w:paperSrc w:first="1" w:other="1"/>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240"/>
    <w:rsid w:val="00047240"/>
    <w:rsid w:val="001D290D"/>
    <w:rsid w:val="002A3B45"/>
    <w:rsid w:val="0032544F"/>
    <w:rsid w:val="00344E68"/>
    <w:rsid w:val="006B6252"/>
    <w:rsid w:val="00A82FB4"/>
    <w:rsid w:val="00DB3F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9359"/>
  <w15:chartTrackingRefBased/>
  <w15:docId w15:val="{3EB3246B-D17D-46B8-8FCC-8271ED0D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2">
    <w:name w:val="Tabla con cuadrícula2"/>
    <w:basedOn w:val="Tablanormal"/>
    <w:next w:val="Tablaconcuadrcula"/>
    <w:uiPriority w:val="39"/>
    <w:rsid w:val="001D2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1D2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891</Words>
  <Characters>4904</Characters>
  <Application>Microsoft Office Word</Application>
  <DocSecurity>0</DocSecurity>
  <Lines>40</Lines>
  <Paragraphs>11</Paragraphs>
  <ScaleCrop>false</ScaleCrop>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Rubiano-Groot Gómez</dc:creator>
  <cp:keywords/>
  <dc:description/>
  <cp:lastModifiedBy>Sebastian Rubiano-Groot Gómez</cp:lastModifiedBy>
  <cp:revision>5</cp:revision>
  <dcterms:created xsi:type="dcterms:W3CDTF">2026-08-25T16:12:00Z</dcterms:created>
  <dcterms:modified xsi:type="dcterms:W3CDTF">2026-08-25T23:48:00Z</dcterms:modified>
</cp:coreProperties>
</file>