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14F2" w14:textId="575BA042" w:rsidR="00CF68F8" w:rsidRPr="00E06AAA" w:rsidRDefault="008F680E" w:rsidP="00E06AA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6AAA">
        <w:rPr>
          <w:rFonts w:ascii="Arial" w:hAnsi="Arial" w:cs="Arial"/>
          <w:b/>
          <w:bCs/>
          <w:sz w:val="32"/>
          <w:szCs w:val="32"/>
        </w:rPr>
        <w:t xml:space="preserve">Por </w:t>
      </w:r>
      <w:r w:rsidR="00A1642F" w:rsidRPr="00E06AAA">
        <w:rPr>
          <w:rFonts w:ascii="Arial" w:hAnsi="Arial" w:cs="Arial"/>
          <w:b/>
          <w:bCs/>
          <w:sz w:val="32"/>
          <w:szCs w:val="32"/>
        </w:rPr>
        <w:t xml:space="preserve">decisión </w:t>
      </w:r>
      <w:r w:rsidR="00715E45" w:rsidRPr="00E06AAA">
        <w:rPr>
          <w:rFonts w:ascii="Arial" w:hAnsi="Arial" w:cs="Arial"/>
          <w:b/>
          <w:bCs/>
          <w:sz w:val="32"/>
          <w:szCs w:val="32"/>
        </w:rPr>
        <w:t>de la Corte Constitucional</w:t>
      </w:r>
      <w:r w:rsidR="00CF68F8" w:rsidRPr="00E06AAA">
        <w:rPr>
          <w:rFonts w:ascii="Arial" w:hAnsi="Arial" w:cs="Arial"/>
          <w:b/>
          <w:bCs/>
          <w:sz w:val="32"/>
          <w:szCs w:val="32"/>
        </w:rPr>
        <w:t xml:space="preserve"> </w:t>
      </w:r>
      <w:r w:rsidR="00D41136" w:rsidRPr="00E06AAA">
        <w:rPr>
          <w:rFonts w:ascii="Arial" w:hAnsi="Arial" w:cs="Arial"/>
          <w:b/>
          <w:bCs/>
          <w:sz w:val="32"/>
          <w:szCs w:val="32"/>
        </w:rPr>
        <w:t>se suspende</w:t>
      </w:r>
      <w:r w:rsidR="00CF68F8" w:rsidRPr="00E06AAA">
        <w:rPr>
          <w:rFonts w:ascii="Arial" w:hAnsi="Arial" w:cs="Arial"/>
          <w:b/>
          <w:bCs/>
          <w:sz w:val="32"/>
          <w:szCs w:val="32"/>
        </w:rPr>
        <w:t xml:space="preserve"> la </w:t>
      </w:r>
      <w:r w:rsidR="00284E76" w:rsidRPr="00E06AAA">
        <w:rPr>
          <w:rFonts w:ascii="Arial" w:hAnsi="Arial" w:cs="Arial"/>
          <w:b/>
          <w:bCs/>
          <w:sz w:val="32"/>
          <w:szCs w:val="32"/>
        </w:rPr>
        <w:t>entrada en vigor</w:t>
      </w:r>
      <w:r w:rsidR="00CF68F8" w:rsidRPr="00E06AAA">
        <w:rPr>
          <w:rFonts w:ascii="Arial" w:hAnsi="Arial" w:cs="Arial"/>
          <w:b/>
          <w:bCs/>
          <w:sz w:val="32"/>
          <w:szCs w:val="32"/>
        </w:rPr>
        <w:t xml:space="preserve"> de la ley 2381</w:t>
      </w:r>
      <w:r w:rsidR="00C306E5" w:rsidRPr="00E06AAA">
        <w:rPr>
          <w:rFonts w:ascii="Arial" w:hAnsi="Arial" w:cs="Arial"/>
          <w:b/>
          <w:bCs/>
          <w:sz w:val="32"/>
          <w:szCs w:val="32"/>
        </w:rPr>
        <w:t xml:space="preserve"> de 2024</w:t>
      </w:r>
    </w:p>
    <w:p w14:paraId="650FB98C" w14:textId="77777777" w:rsidR="00CF68F8" w:rsidRDefault="00CF68F8" w:rsidP="00FA2E85">
      <w:pPr>
        <w:rPr>
          <w:rFonts w:ascii="Arial" w:hAnsi="Arial" w:cs="Arial"/>
          <w:b/>
          <w:bCs/>
          <w:sz w:val="32"/>
          <w:szCs w:val="32"/>
        </w:rPr>
      </w:pPr>
    </w:p>
    <w:p w14:paraId="42CB0341" w14:textId="1ECE2781" w:rsidR="00715E45" w:rsidRDefault="00715E45" w:rsidP="00715E4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CF68F8">
        <w:rPr>
          <w:rFonts w:ascii="Arial" w:hAnsi="Arial" w:cs="Arial"/>
          <w:b/>
          <w:bCs/>
          <w:sz w:val="40"/>
          <w:szCs w:val="40"/>
        </w:rPr>
        <w:t>Porvenir</w:t>
      </w:r>
      <w:r w:rsidR="0083124C">
        <w:rPr>
          <w:rFonts w:ascii="Arial" w:hAnsi="Arial" w:cs="Arial"/>
          <w:b/>
          <w:bCs/>
          <w:sz w:val="40"/>
          <w:szCs w:val="40"/>
        </w:rPr>
        <w:t xml:space="preserve"> </w:t>
      </w:r>
      <w:r w:rsidRPr="00CF68F8">
        <w:rPr>
          <w:rFonts w:ascii="Arial" w:hAnsi="Arial" w:cs="Arial"/>
          <w:b/>
          <w:bCs/>
          <w:sz w:val="40"/>
          <w:szCs w:val="40"/>
        </w:rPr>
        <w:t xml:space="preserve">hace un llamado a aprovechar la </w:t>
      </w:r>
      <w:r w:rsidR="00235973" w:rsidRPr="00CF68F8">
        <w:rPr>
          <w:rFonts w:ascii="Arial" w:hAnsi="Arial" w:cs="Arial"/>
          <w:b/>
          <w:bCs/>
          <w:sz w:val="40"/>
          <w:szCs w:val="40"/>
        </w:rPr>
        <w:t>O</w:t>
      </w:r>
      <w:r w:rsidRPr="00CF68F8">
        <w:rPr>
          <w:rFonts w:ascii="Arial" w:hAnsi="Arial" w:cs="Arial"/>
          <w:b/>
          <w:bCs/>
          <w:sz w:val="40"/>
          <w:szCs w:val="40"/>
        </w:rPr>
        <w:t xml:space="preserve">portunidad de </w:t>
      </w:r>
      <w:r w:rsidR="00235973" w:rsidRPr="00CF68F8">
        <w:rPr>
          <w:rFonts w:ascii="Arial" w:hAnsi="Arial" w:cs="Arial"/>
          <w:b/>
          <w:bCs/>
          <w:sz w:val="40"/>
          <w:szCs w:val="40"/>
        </w:rPr>
        <w:t>T</w:t>
      </w:r>
      <w:r w:rsidRPr="00CF68F8">
        <w:rPr>
          <w:rFonts w:ascii="Arial" w:hAnsi="Arial" w:cs="Arial"/>
          <w:b/>
          <w:bCs/>
          <w:sz w:val="40"/>
          <w:szCs w:val="40"/>
        </w:rPr>
        <w:t>raslado</w:t>
      </w:r>
      <w:r w:rsidR="00CF68F8" w:rsidRPr="00CF68F8">
        <w:rPr>
          <w:rFonts w:ascii="Arial" w:hAnsi="Arial" w:cs="Arial"/>
          <w:b/>
          <w:bCs/>
          <w:sz w:val="40"/>
          <w:szCs w:val="40"/>
        </w:rPr>
        <w:t xml:space="preserve"> que sigue vigente</w:t>
      </w:r>
    </w:p>
    <w:p w14:paraId="547E28D3" w14:textId="77777777" w:rsidR="00D41136" w:rsidRDefault="00D41136" w:rsidP="00D41136">
      <w:pPr>
        <w:rPr>
          <w:rFonts w:ascii="Arial" w:hAnsi="Arial" w:cs="Arial"/>
          <w:b/>
          <w:bCs/>
          <w:sz w:val="40"/>
          <w:szCs w:val="40"/>
        </w:rPr>
      </w:pPr>
    </w:p>
    <w:p w14:paraId="7E82235F" w14:textId="2DB8341F" w:rsidR="00227A2D" w:rsidRPr="00902EB0" w:rsidRDefault="001A422B" w:rsidP="00902EB0">
      <w:pPr>
        <w:pStyle w:val="Prrafodelista"/>
        <w:numPr>
          <w:ilvl w:val="0"/>
          <w:numId w:val="2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</w:t>
      </w:r>
      <w:r w:rsidRPr="001A422B">
        <w:rPr>
          <w:rFonts w:ascii="Arial" w:hAnsi="Arial" w:cs="Arial"/>
          <w:i/>
          <w:iCs/>
          <w:sz w:val="22"/>
          <w:szCs w:val="22"/>
        </w:rPr>
        <w:t xml:space="preserve">a Corte Constitucional ordenó devolver </w:t>
      </w:r>
      <w:r>
        <w:rPr>
          <w:rFonts w:ascii="Arial" w:hAnsi="Arial" w:cs="Arial"/>
          <w:i/>
          <w:iCs/>
          <w:sz w:val="22"/>
          <w:szCs w:val="22"/>
        </w:rPr>
        <w:t>la Ley 2381 de 2024</w:t>
      </w:r>
      <w:r w:rsidRPr="001A422B">
        <w:rPr>
          <w:rFonts w:ascii="Arial" w:hAnsi="Arial" w:cs="Arial"/>
          <w:i/>
          <w:iCs/>
          <w:sz w:val="22"/>
          <w:szCs w:val="22"/>
        </w:rPr>
        <w:t xml:space="preserve"> para ser tramitada en debida forma por la Plenaria de la Cámara de Representantes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="00CF68F8" w:rsidRPr="001A422B">
        <w:rPr>
          <w:rFonts w:ascii="Arial" w:hAnsi="Arial" w:cs="Arial"/>
          <w:i/>
          <w:iCs/>
          <w:sz w:val="22"/>
          <w:szCs w:val="22"/>
        </w:rPr>
        <w:t>con un plazo máximo de 30 días hábiles,</w:t>
      </w:r>
      <w:r w:rsidR="00902EB0">
        <w:rPr>
          <w:rFonts w:ascii="Arial" w:hAnsi="Arial" w:cs="Arial"/>
          <w:i/>
          <w:iCs/>
          <w:sz w:val="22"/>
          <w:szCs w:val="22"/>
        </w:rPr>
        <w:t xml:space="preserve"> contados a partir de la comunicación del Auto 841 de 2025.</w:t>
      </w:r>
    </w:p>
    <w:p w14:paraId="10CE79E0" w14:textId="77777777" w:rsidR="00715E45" w:rsidRPr="00C051CA" w:rsidRDefault="00715E45" w:rsidP="00C051CA">
      <w:pPr>
        <w:jc w:val="both"/>
        <w:rPr>
          <w:rFonts w:ascii="Arial" w:hAnsi="Arial" w:cs="Arial"/>
        </w:rPr>
      </w:pPr>
    </w:p>
    <w:p w14:paraId="24AB9A46" w14:textId="39C4CAB1" w:rsidR="0083124C" w:rsidRDefault="00C051CA" w:rsidP="00715E45">
      <w:pPr>
        <w:jc w:val="both"/>
        <w:rPr>
          <w:rFonts w:ascii="Arial" w:hAnsi="Arial" w:cs="Arial"/>
        </w:rPr>
      </w:pPr>
      <w:r w:rsidRPr="00C828C6">
        <w:rPr>
          <w:rFonts w:ascii="Arial" w:hAnsi="Arial" w:cs="Arial"/>
          <w:b/>
          <w:bCs/>
        </w:rPr>
        <w:t>Bogotá, 18 de junio de 2025</w:t>
      </w:r>
      <w:r w:rsidR="00A86E9F">
        <w:rPr>
          <w:rFonts w:ascii="Arial" w:hAnsi="Arial" w:cs="Arial"/>
        </w:rPr>
        <w:t xml:space="preserve"> </w:t>
      </w:r>
      <w:r w:rsidR="007B746A">
        <w:rPr>
          <w:rFonts w:ascii="Arial" w:hAnsi="Arial" w:cs="Arial"/>
        </w:rPr>
        <w:t>–</w:t>
      </w:r>
      <w:r w:rsidR="009A2C32">
        <w:rPr>
          <w:rFonts w:ascii="Arial" w:hAnsi="Arial" w:cs="Arial"/>
        </w:rPr>
        <w:t xml:space="preserve"> </w:t>
      </w:r>
      <w:r w:rsidR="00227A2D">
        <w:rPr>
          <w:rFonts w:ascii="Arial" w:hAnsi="Arial" w:cs="Arial"/>
        </w:rPr>
        <w:t>L</w:t>
      </w:r>
      <w:r w:rsidR="00CF68F8">
        <w:rPr>
          <w:rFonts w:ascii="Arial" w:hAnsi="Arial" w:cs="Arial"/>
        </w:rPr>
        <w:t xml:space="preserve">a reciente decisión adoptada por </w:t>
      </w:r>
      <w:r w:rsidR="00CF68F8" w:rsidRPr="007B746A">
        <w:rPr>
          <w:rFonts w:ascii="Arial" w:hAnsi="Arial" w:cs="Arial"/>
        </w:rPr>
        <w:t>la</w:t>
      </w:r>
      <w:r w:rsidR="007B746A" w:rsidRPr="007B746A">
        <w:rPr>
          <w:rFonts w:ascii="Arial" w:hAnsi="Arial" w:cs="Arial"/>
        </w:rPr>
        <w:t xml:space="preserve"> Corte Constitucional </w:t>
      </w:r>
      <w:r w:rsidR="00C306E5">
        <w:rPr>
          <w:rFonts w:ascii="Arial" w:hAnsi="Arial" w:cs="Arial"/>
        </w:rPr>
        <w:t xml:space="preserve">suspende </w:t>
      </w:r>
      <w:r w:rsidR="00C306E5" w:rsidRPr="00CF68F8">
        <w:rPr>
          <w:rFonts w:ascii="Arial" w:hAnsi="Arial" w:cs="Arial"/>
        </w:rPr>
        <w:t>temporalmente</w:t>
      </w:r>
      <w:r w:rsidR="00CF68F8" w:rsidRPr="00CF68F8">
        <w:rPr>
          <w:rFonts w:ascii="Arial" w:hAnsi="Arial" w:cs="Arial"/>
        </w:rPr>
        <w:t xml:space="preserve"> la </w:t>
      </w:r>
      <w:r w:rsidR="0047292C" w:rsidRPr="00CF68F8">
        <w:rPr>
          <w:rFonts w:ascii="Arial" w:hAnsi="Arial" w:cs="Arial"/>
        </w:rPr>
        <w:t>entrada en vi</w:t>
      </w:r>
      <w:r w:rsidR="00227A2D">
        <w:rPr>
          <w:rFonts w:ascii="Arial" w:hAnsi="Arial" w:cs="Arial"/>
        </w:rPr>
        <w:t>gencia</w:t>
      </w:r>
      <w:r w:rsidR="00CF68F8" w:rsidRPr="00CF68F8">
        <w:rPr>
          <w:rFonts w:ascii="Arial" w:hAnsi="Arial" w:cs="Arial"/>
        </w:rPr>
        <w:t xml:space="preserve"> de la Ley 2381 de 2024</w:t>
      </w:r>
      <w:r w:rsidR="0047292C">
        <w:rPr>
          <w:rFonts w:ascii="Arial" w:hAnsi="Arial" w:cs="Arial"/>
        </w:rPr>
        <w:t xml:space="preserve"> que estaba prevista para el 1</w:t>
      </w:r>
      <w:r w:rsidR="00227A2D">
        <w:rPr>
          <w:rFonts w:ascii="Arial" w:hAnsi="Arial" w:cs="Arial"/>
        </w:rPr>
        <w:t>ro</w:t>
      </w:r>
      <w:r w:rsidR="0047292C">
        <w:rPr>
          <w:rFonts w:ascii="Arial" w:hAnsi="Arial" w:cs="Arial"/>
        </w:rPr>
        <w:t xml:space="preserve"> de julio de 2025,</w:t>
      </w:r>
      <w:r w:rsidR="00902EB0">
        <w:rPr>
          <w:rFonts w:ascii="Arial" w:hAnsi="Arial" w:cs="Arial"/>
        </w:rPr>
        <w:t xml:space="preserve"> pero deja en firme</w:t>
      </w:r>
      <w:r w:rsidR="001A422B">
        <w:rPr>
          <w:rFonts w:ascii="Arial" w:hAnsi="Arial" w:cs="Arial"/>
        </w:rPr>
        <w:t xml:space="preserve"> los efectos del</w:t>
      </w:r>
      <w:r w:rsidR="007B746A" w:rsidRPr="007B746A">
        <w:rPr>
          <w:rFonts w:ascii="Arial" w:hAnsi="Arial" w:cs="Arial"/>
        </w:rPr>
        <w:t xml:space="preserve"> artículo 76</w:t>
      </w:r>
      <w:r w:rsidR="00902EB0">
        <w:rPr>
          <w:rFonts w:ascii="Arial" w:hAnsi="Arial" w:cs="Arial"/>
        </w:rPr>
        <w:t xml:space="preserve"> que corresponde </w:t>
      </w:r>
      <w:r w:rsidR="007B746A" w:rsidRPr="007B746A">
        <w:rPr>
          <w:rFonts w:ascii="Arial" w:hAnsi="Arial" w:cs="Arial"/>
        </w:rPr>
        <w:t>a la Oportunidad de Traslado</w:t>
      </w:r>
      <w:r w:rsidR="0083124C">
        <w:rPr>
          <w:rFonts w:ascii="Arial" w:hAnsi="Arial" w:cs="Arial"/>
        </w:rPr>
        <w:t xml:space="preserve">, con la cual los afiliados pueden trasladarse </w:t>
      </w:r>
      <w:r w:rsidR="0083124C" w:rsidRPr="0083124C">
        <w:rPr>
          <w:rFonts w:ascii="Arial" w:hAnsi="Arial" w:cs="Arial"/>
        </w:rPr>
        <w:t>de una Administradora como Porvenir a Colpensiones</w:t>
      </w:r>
      <w:r w:rsidR="0083124C">
        <w:rPr>
          <w:rFonts w:ascii="Arial" w:hAnsi="Arial" w:cs="Arial"/>
        </w:rPr>
        <w:t xml:space="preserve"> o viceversa,</w:t>
      </w:r>
      <w:r w:rsidR="0083124C" w:rsidRPr="0083124C">
        <w:rPr>
          <w:rFonts w:ascii="Arial" w:hAnsi="Arial" w:cs="Arial"/>
        </w:rPr>
        <w:t xml:space="preserve"> </w:t>
      </w:r>
      <w:r w:rsidR="001A422B">
        <w:rPr>
          <w:rFonts w:ascii="Arial" w:hAnsi="Arial" w:cs="Arial"/>
        </w:rPr>
        <w:t>siempre que cuenten con los requisitos.</w:t>
      </w:r>
    </w:p>
    <w:p w14:paraId="14F2CA27" w14:textId="77777777" w:rsidR="008F680E" w:rsidRDefault="008F680E" w:rsidP="00715E45">
      <w:pPr>
        <w:jc w:val="both"/>
        <w:rPr>
          <w:rFonts w:ascii="Arial" w:hAnsi="Arial" w:cs="Arial"/>
        </w:rPr>
      </w:pPr>
    </w:p>
    <w:p w14:paraId="284B838E" w14:textId="6EDD2D01" w:rsidR="008F680E" w:rsidRDefault="007B746A" w:rsidP="00715E45">
      <w:pPr>
        <w:jc w:val="both"/>
        <w:rPr>
          <w:rFonts w:ascii="Arial" w:hAnsi="Arial" w:cs="Arial"/>
        </w:rPr>
      </w:pPr>
      <w:r w:rsidRPr="007B746A">
        <w:rPr>
          <w:rFonts w:ascii="Arial" w:hAnsi="Arial" w:cs="Arial"/>
        </w:rPr>
        <w:t>En este contexto, Porvenir hace un llamado a los colombianos</w:t>
      </w:r>
      <w:r w:rsidR="00B13841">
        <w:rPr>
          <w:rFonts w:ascii="Arial" w:hAnsi="Arial" w:cs="Arial"/>
        </w:rPr>
        <w:t xml:space="preserve"> que </w:t>
      </w:r>
      <w:r w:rsidR="00B13841" w:rsidRPr="007B746A">
        <w:rPr>
          <w:rFonts w:ascii="Arial" w:hAnsi="Arial" w:cs="Arial"/>
        </w:rPr>
        <w:t>estén a menos de 10 años de cumplir la edad de pensión (57 años para mujeres y 62 años para hombres), y cuenten con 750 semanas cotizadas (mujeres) o 900 semanas (hombres)</w:t>
      </w:r>
      <w:r w:rsidR="00B13841">
        <w:rPr>
          <w:rFonts w:ascii="Arial" w:hAnsi="Arial" w:cs="Arial"/>
        </w:rPr>
        <w:t xml:space="preserve">, para </w:t>
      </w:r>
      <w:r w:rsidR="00B13841" w:rsidRPr="00B13841">
        <w:rPr>
          <w:rFonts w:ascii="Arial" w:hAnsi="Arial" w:cs="Arial"/>
        </w:rPr>
        <w:t>que tomen la doble asesoría y aprovechen esta ventana pensional.</w:t>
      </w:r>
      <w:r w:rsidR="00B13841">
        <w:rPr>
          <w:rFonts w:ascii="Arial" w:hAnsi="Arial" w:cs="Arial"/>
        </w:rPr>
        <w:t xml:space="preserve"> </w:t>
      </w:r>
    </w:p>
    <w:p w14:paraId="3FD90BCE" w14:textId="77777777" w:rsidR="00B13841" w:rsidRDefault="00B13841" w:rsidP="00715E45">
      <w:pPr>
        <w:jc w:val="both"/>
        <w:rPr>
          <w:rFonts w:ascii="Arial" w:hAnsi="Arial" w:cs="Arial"/>
        </w:rPr>
      </w:pPr>
    </w:p>
    <w:p w14:paraId="49EAA0CE" w14:textId="478E2510" w:rsidR="00ED05B4" w:rsidRDefault="00B13841" w:rsidP="007B746A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 xml:space="preserve">Conforme al pronunciamiento de la Corte Constitucional, también </w:t>
      </w:r>
      <w:r w:rsidR="005566ED">
        <w:rPr>
          <w:rFonts w:ascii="Arial" w:hAnsi="Arial" w:cs="Arial"/>
        </w:rPr>
        <w:t>se mantiene</w:t>
      </w:r>
      <w:r>
        <w:rPr>
          <w:rFonts w:ascii="Arial" w:hAnsi="Arial" w:cs="Arial"/>
        </w:rPr>
        <w:t xml:space="preserve"> la Oportunidad de Traslado </w:t>
      </w:r>
      <w:r w:rsidR="005566ED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aquellos trabajadores que</w:t>
      </w:r>
      <w:r w:rsidRPr="007B746A">
        <w:rPr>
          <w:rFonts w:ascii="Arial" w:hAnsi="Arial" w:cs="Arial"/>
        </w:rPr>
        <w:t xml:space="preserve"> hicieron uso</w:t>
      </w:r>
      <w:r>
        <w:rPr>
          <w:rFonts w:ascii="Arial" w:hAnsi="Arial" w:cs="Arial"/>
        </w:rPr>
        <w:t xml:space="preserve"> de este mecanismo y cuya </w:t>
      </w:r>
      <w:r w:rsidRPr="007B746A">
        <w:rPr>
          <w:rFonts w:ascii="Arial" w:hAnsi="Arial" w:cs="Arial"/>
        </w:rPr>
        <w:t>solicitud fue aprobada</w:t>
      </w:r>
      <w:r>
        <w:rPr>
          <w:rFonts w:ascii="Arial" w:hAnsi="Arial" w:cs="Arial"/>
        </w:rPr>
        <w:t>.</w:t>
      </w:r>
      <w:r w:rsidR="00902EB0">
        <w:rPr>
          <w:rFonts w:ascii="Arial" w:hAnsi="Arial" w:cs="Arial"/>
        </w:rPr>
        <w:t xml:space="preserve"> </w:t>
      </w:r>
      <w:r w:rsidR="005566ED">
        <w:rPr>
          <w:rFonts w:ascii="Arial" w:hAnsi="Arial" w:cs="Arial"/>
        </w:rPr>
        <w:t xml:space="preserve"> Quienes cuentan con una demanda</w:t>
      </w:r>
      <w:r w:rsidR="00EB439F">
        <w:rPr>
          <w:rFonts w:ascii="Arial" w:hAnsi="Arial" w:cs="Arial"/>
        </w:rPr>
        <w:t xml:space="preserve"> </w:t>
      </w:r>
      <w:r w:rsidR="005566ED">
        <w:rPr>
          <w:rFonts w:ascii="Arial" w:hAnsi="Arial" w:cs="Arial"/>
        </w:rPr>
        <w:t xml:space="preserve">de ineficacia o nulidad de afiliación en curso, y cumplen los requisitos, pueden hacer uso de esta ventana y </w:t>
      </w:r>
      <w:r w:rsidR="00EB439F" w:rsidRPr="00CF2B3C">
        <w:rPr>
          <w:rFonts w:ascii="Arial" w:hAnsi="Arial" w:cs="Arial"/>
          <w:lang w:val="es-ES"/>
        </w:rPr>
        <w:t>solicitar la terminación del proceso judicial</w:t>
      </w:r>
      <w:r w:rsidR="00EB439F">
        <w:rPr>
          <w:rFonts w:ascii="Arial" w:hAnsi="Arial" w:cs="Arial"/>
          <w:lang w:val="es-ES"/>
        </w:rPr>
        <w:t>.</w:t>
      </w:r>
    </w:p>
    <w:p w14:paraId="6D2111E8" w14:textId="77777777" w:rsidR="00EB439F" w:rsidRDefault="00EB439F" w:rsidP="007B746A">
      <w:pPr>
        <w:jc w:val="both"/>
        <w:rPr>
          <w:rFonts w:ascii="Arial" w:hAnsi="Arial" w:cs="Arial"/>
        </w:rPr>
      </w:pPr>
    </w:p>
    <w:p w14:paraId="539FDD15" w14:textId="59B8F7EE" w:rsidR="007B746A" w:rsidRDefault="007B746A" w:rsidP="007B746A">
      <w:pPr>
        <w:jc w:val="both"/>
        <w:rPr>
          <w:rFonts w:ascii="Arial" w:hAnsi="Arial" w:cs="Arial"/>
        </w:rPr>
      </w:pPr>
      <w:r w:rsidRPr="007B746A">
        <w:rPr>
          <w:rFonts w:ascii="Arial" w:hAnsi="Arial" w:cs="Arial"/>
        </w:rPr>
        <w:t>Miguel Largacha Martínez, presidente de Porvenir, indicó:</w:t>
      </w:r>
      <w:r w:rsidR="001B1C53">
        <w:rPr>
          <w:rFonts w:ascii="Arial" w:hAnsi="Arial" w:cs="Arial"/>
        </w:rPr>
        <w:t xml:space="preserve"> </w:t>
      </w:r>
      <w:r w:rsidRPr="007B746A">
        <w:rPr>
          <w:rFonts w:ascii="Arial" w:hAnsi="Arial" w:cs="Arial"/>
        </w:rPr>
        <w:t>“Hemos dispuesto un plan robusto en tecnología, servicios y comunicaciones para acompañar a los afiliados en el proceso de Oportunidad de Traslado. A la fecha, hemos realizado más de 74 mil dobles asesorías y cerca de 40 mil traslados”.</w:t>
      </w:r>
    </w:p>
    <w:p w14:paraId="18E8E6A5" w14:textId="39E51797" w:rsidR="007B746A" w:rsidRDefault="007B746A" w:rsidP="007B746A">
      <w:pPr>
        <w:jc w:val="both"/>
        <w:rPr>
          <w:rFonts w:ascii="Arial" w:hAnsi="Arial" w:cs="Arial"/>
        </w:rPr>
      </w:pPr>
    </w:p>
    <w:p w14:paraId="24C6D8EB" w14:textId="100AB631" w:rsidR="007B746A" w:rsidRDefault="007B746A" w:rsidP="007B746A">
      <w:pPr>
        <w:jc w:val="both"/>
        <w:rPr>
          <w:rFonts w:ascii="Arial" w:hAnsi="Arial" w:cs="Arial"/>
        </w:rPr>
      </w:pPr>
      <w:r w:rsidRPr="007B746A">
        <w:rPr>
          <w:rFonts w:ascii="Arial" w:hAnsi="Arial" w:cs="Arial"/>
        </w:rPr>
        <w:t>El directivo agregó</w:t>
      </w:r>
      <w:r>
        <w:rPr>
          <w:rFonts w:ascii="Arial" w:hAnsi="Arial" w:cs="Arial"/>
        </w:rPr>
        <w:t xml:space="preserve"> que </w:t>
      </w:r>
      <w:r w:rsidRPr="007B746A">
        <w:rPr>
          <w:rFonts w:ascii="Arial" w:hAnsi="Arial" w:cs="Arial"/>
        </w:rPr>
        <w:t>“</w:t>
      </w:r>
      <w:r w:rsidR="001B1C53">
        <w:rPr>
          <w:rFonts w:ascii="Arial" w:hAnsi="Arial" w:cs="Arial"/>
        </w:rPr>
        <w:t>l</w:t>
      </w:r>
      <w:r w:rsidRPr="007B746A">
        <w:rPr>
          <w:rFonts w:ascii="Arial" w:hAnsi="Arial" w:cs="Arial"/>
        </w:rPr>
        <w:t xml:space="preserve">a Oportunidad de Traslado representa una decisión clave para el futuro pensional de miles de </w:t>
      </w:r>
      <w:r>
        <w:rPr>
          <w:rFonts w:ascii="Arial" w:hAnsi="Arial" w:cs="Arial"/>
        </w:rPr>
        <w:t>colombianos</w:t>
      </w:r>
      <w:r w:rsidRPr="007B746A">
        <w:rPr>
          <w:rFonts w:ascii="Arial" w:hAnsi="Arial" w:cs="Arial"/>
        </w:rPr>
        <w:t xml:space="preserve">. Es fundamental conocer las condiciones y beneficios de cada régimen, y tomar la decisión que más </w:t>
      </w:r>
      <w:r w:rsidR="00EB439F">
        <w:rPr>
          <w:rFonts w:ascii="Arial" w:hAnsi="Arial" w:cs="Arial"/>
        </w:rPr>
        <w:t>favorezca</w:t>
      </w:r>
      <w:r w:rsidRPr="007B746A">
        <w:rPr>
          <w:rFonts w:ascii="Arial" w:hAnsi="Arial" w:cs="Arial"/>
        </w:rPr>
        <w:t xml:space="preserve"> en este importante paso hacia </w:t>
      </w:r>
      <w:r>
        <w:rPr>
          <w:rFonts w:ascii="Arial" w:hAnsi="Arial" w:cs="Arial"/>
        </w:rPr>
        <w:t>el bienestar en el retiro.</w:t>
      </w:r>
      <w:r w:rsidRPr="007B746A">
        <w:rPr>
          <w:rFonts w:ascii="Arial" w:hAnsi="Arial" w:cs="Arial"/>
        </w:rPr>
        <w:t xml:space="preserve"> La invitación es a no esperar hasta la fecha límite —16 de julio de 2026— y actuar con anticipación”.</w:t>
      </w:r>
    </w:p>
    <w:p w14:paraId="05FC25FC" w14:textId="3549E028" w:rsidR="00956DE1" w:rsidRDefault="00956DE1" w:rsidP="007B746A">
      <w:pPr>
        <w:jc w:val="both"/>
        <w:rPr>
          <w:rFonts w:ascii="Arial" w:hAnsi="Arial" w:cs="Arial"/>
        </w:rPr>
      </w:pPr>
    </w:p>
    <w:p w14:paraId="6E292D6E" w14:textId="3CC0B911" w:rsidR="00956DE1" w:rsidRDefault="00956DE1" w:rsidP="007B746A">
      <w:pPr>
        <w:jc w:val="both"/>
        <w:rPr>
          <w:rFonts w:ascii="Arial" w:hAnsi="Arial" w:cs="Arial"/>
        </w:rPr>
      </w:pPr>
    </w:p>
    <w:p w14:paraId="48888E6D" w14:textId="39CCCFDA" w:rsidR="00956DE1" w:rsidRDefault="00956DE1" w:rsidP="007B746A">
      <w:pPr>
        <w:jc w:val="both"/>
        <w:rPr>
          <w:rFonts w:ascii="Arial" w:hAnsi="Arial" w:cs="Arial"/>
        </w:rPr>
      </w:pPr>
    </w:p>
    <w:p w14:paraId="014EB963" w14:textId="77777777" w:rsidR="00956DE1" w:rsidRDefault="00956DE1" w:rsidP="007B746A">
      <w:pPr>
        <w:jc w:val="both"/>
        <w:rPr>
          <w:rFonts w:ascii="Arial" w:hAnsi="Arial" w:cs="Arial"/>
        </w:rPr>
      </w:pPr>
    </w:p>
    <w:p w14:paraId="36E9FB67" w14:textId="77777777" w:rsidR="00715E45" w:rsidRDefault="00715E45" w:rsidP="00C051CA">
      <w:pPr>
        <w:jc w:val="both"/>
        <w:rPr>
          <w:rFonts w:ascii="Arial" w:hAnsi="Arial" w:cs="Arial"/>
        </w:rPr>
      </w:pPr>
    </w:p>
    <w:p w14:paraId="4702F383" w14:textId="28B6007A" w:rsidR="00235973" w:rsidRPr="00235973" w:rsidRDefault="00235973" w:rsidP="00235973">
      <w:pPr>
        <w:jc w:val="both"/>
        <w:rPr>
          <w:rFonts w:ascii="Arial" w:hAnsi="Arial" w:cs="Arial"/>
          <w:b/>
          <w:bCs/>
        </w:rPr>
      </w:pPr>
      <w:r w:rsidRPr="00235973">
        <w:rPr>
          <w:rFonts w:ascii="Arial" w:hAnsi="Arial" w:cs="Arial"/>
          <w:b/>
          <w:bCs/>
        </w:rPr>
        <w:lastRenderedPageBreak/>
        <w:t xml:space="preserve">Sobre </w:t>
      </w:r>
      <w:r w:rsidR="0083124C">
        <w:rPr>
          <w:rFonts w:ascii="Arial" w:hAnsi="Arial" w:cs="Arial"/>
          <w:b/>
          <w:bCs/>
        </w:rPr>
        <w:t xml:space="preserve">el pronunciamiento </w:t>
      </w:r>
      <w:r w:rsidRPr="00235973">
        <w:rPr>
          <w:rFonts w:ascii="Arial" w:hAnsi="Arial" w:cs="Arial"/>
          <w:b/>
          <w:bCs/>
        </w:rPr>
        <w:t>de la Corte Constitucional</w:t>
      </w:r>
    </w:p>
    <w:p w14:paraId="7AD2AB02" w14:textId="77777777" w:rsidR="00235973" w:rsidRDefault="00235973" w:rsidP="00235973">
      <w:pPr>
        <w:jc w:val="both"/>
        <w:rPr>
          <w:rFonts w:ascii="Arial" w:hAnsi="Arial" w:cs="Arial"/>
        </w:rPr>
      </w:pPr>
    </w:p>
    <w:p w14:paraId="443EBB6E" w14:textId="654BEE33" w:rsidR="00715E45" w:rsidRDefault="00235973" w:rsidP="00235973">
      <w:pPr>
        <w:jc w:val="both"/>
        <w:rPr>
          <w:rFonts w:ascii="Arial" w:hAnsi="Arial" w:cs="Arial"/>
        </w:rPr>
      </w:pPr>
      <w:r w:rsidRPr="00235973">
        <w:rPr>
          <w:rFonts w:ascii="Arial" w:hAnsi="Arial" w:cs="Arial"/>
        </w:rPr>
        <w:t>“Valoramos que la decisión de la Corte</w:t>
      </w:r>
      <w:r w:rsidR="001B1C53">
        <w:rPr>
          <w:rFonts w:ascii="Arial" w:hAnsi="Arial" w:cs="Arial"/>
        </w:rPr>
        <w:t xml:space="preserve"> Constitucional</w:t>
      </w:r>
      <w:r w:rsidRPr="00235973">
        <w:rPr>
          <w:rFonts w:ascii="Arial" w:hAnsi="Arial" w:cs="Arial"/>
        </w:rPr>
        <w:t xml:space="preserve"> se haya dado antes de la </w:t>
      </w:r>
      <w:r w:rsidR="009A2C32" w:rsidRPr="00235973">
        <w:rPr>
          <w:rFonts w:ascii="Arial" w:hAnsi="Arial" w:cs="Arial"/>
        </w:rPr>
        <w:t>entrada en vigor</w:t>
      </w:r>
      <w:r w:rsidRPr="00235973">
        <w:rPr>
          <w:rFonts w:ascii="Arial" w:hAnsi="Arial" w:cs="Arial"/>
        </w:rPr>
        <w:t xml:space="preserve"> de la Ley. Esto evita incertidumbre operativa y permite mantener una transición ordenada para millones de trabajadores. En Porvenir seguimos preparados y comprometidos para adaptarnos a lo que determine el Congreso y la Corte</w:t>
      </w:r>
      <w:r w:rsidR="001B1C53">
        <w:rPr>
          <w:rFonts w:ascii="Arial" w:hAnsi="Arial" w:cs="Arial"/>
        </w:rPr>
        <w:t xml:space="preserve"> Constitucional</w:t>
      </w:r>
      <w:r w:rsidRPr="00235973">
        <w:rPr>
          <w:rFonts w:ascii="Arial" w:hAnsi="Arial" w:cs="Arial"/>
        </w:rPr>
        <w:t>, sin perder de vista nuestro propósito: construir bienestar financiero para los colombianos”, agregó Largacha</w:t>
      </w:r>
      <w:r w:rsidR="00C306E5">
        <w:rPr>
          <w:rFonts w:ascii="Arial" w:hAnsi="Arial" w:cs="Arial"/>
        </w:rPr>
        <w:t xml:space="preserve"> señalando que están a la espera del Auto que emita la Corte Constitucional.</w:t>
      </w:r>
    </w:p>
    <w:p w14:paraId="3AFD8262" w14:textId="090859E1" w:rsidR="00235973" w:rsidRDefault="00235973" w:rsidP="00C051CA">
      <w:pPr>
        <w:jc w:val="both"/>
        <w:rPr>
          <w:rFonts w:ascii="Arial" w:hAnsi="Arial" w:cs="Arial"/>
        </w:rPr>
      </w:pPr>
    </w:p>
    <w:p w14:paraId="34045CA7" w14:textId="1FDF73C0" w:rsidR="00C051CA" w:rsidRDefault="00235973" w:rsidP="00C051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directivo </w:t>
      </w:r>
      <w:r w:rsidR="009A2C32">
        <w:rPr>
          <w:rFonts w:ascii="Arial" w:hAnsi="Arial" w:cs="Arial"/>
        </w:rPr>
        <w:t>dijo que</w:t>
      </w:r>
      <w:r w:rsidR="007B746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9A2C32">
        <w:rPr>
          <w:rFonts w:ascii="Arial" w:hAnsi="Arial" w:cs="Arial"/>
        </w:rPr>
        <w:t>“nuestro</w:t>
      </w:r>
      <w:r w:rsidR="00C051CA" w:rsidRPr="00C051CA">
        <w:rPr>
          <w:rFonts w:ascii="Arial" w:hAnsi="Arial" w:cs="Arial"/>
        </w:rPr>
        <w:t xml:space="preserve"> compromiso </w:t>
      </w:r>
      <w:r>
        <w:rPr>
          <w:rFonts w:ascii="Arial" w:hAnsi="Arial" w:cs="Arial"/>
        </w:rPr>
        <w:t xml:space="preserve">es </w:t>
      </w:r>
      <w:r w:rsidR="00C051CA" w:rsidRPr="00C051CA">
        <w:rPr>
          <w:rFonts w:ascii="Arial" w:hAnsi="Arial" w:cs="Arial"/>
        </w:rPr>
        <w:t>con los más de 15 millones de afiliados a quienes acompañamos en su propósito de construir un futuro financiero sostenible. Como Administradora</w:t>
      </w:r>
      <w:r w:rsidR="00EB439F">
        <w:rPr>
          <w:rFonts w:ascii="Arial" w:hAnsi="Arial" w:cs="Arial"/>
        </w:rPr>
        <w:t xml:space="preserve"> de Pensiones</w:t>
      </w:r>
      <w:r w:rsidR="00C051CA" w:rsidRPr="00C051CA">
        <w:rPr>
          <w:rFonts w:ascii="Arial" w:hAnsi="Arial" w:cs="Arial"/>
        </w:rPr>
        <w:t xml:space="preserve"> continuaremos prestando nuestros servicios con responsabilidad, transparencia y bajo los más altos estándares de calidad operativa y tecnológica</w:t>
      </w:r>
      <w:r w:rsidR="001B1C53">
        <w:rPr>
          <w:rFonts w:ascii="Arial" w:hAnsi="Arial" w:cs="Arial"/>
        </w:rPr>
        <w:t>”.</w:t>
      </w:r>
    </w:p>
    <w:p w14:paraId="0D7FE502" w14:textId="77777777" w:rsidR="00C051CA" w:rsidRPr="00C051CA" w:rsidRDefault="00C051CA" w:rsidP="00C051CA">
      <w:pPr>
        <w:jc w:val="both"/>
        <w:rPr>
          <w:rFonts w:ascii="Arial" w:hAnsi="Arial" w:cs="Arial"/>
        </w:rPr>
      </w:pPr>
    </w:p>
    <w:p w14:paraId="707CBABB" w14:textId="43A908DE" w:rsidR="00C051CA" w:rsidRDefault="00C051CA" w:rsidP="00C051CA">
      <w:pPr>
        <w:jc w:val="both"/>
        <w:rPr>
          <w:rFonts w:ascii="Arial" w:hAnsi="Arial" w:cs="Arial"/>
        </w:rPr>
      </w:pPr>
      <w:r w:rsidRPr="00C051CA">
        <w:rPr>
          <w:rFonts w:ascii="Arial" w:hAnsi="Arial" w:cs="Arial"/>
        </w:rPr>
        <w:t>Porvenir v</w:t>
      </w:r>
      <w:r w:rsidR="007B746A">
        <w:rPr>
          <w:rFonts w:ascii="Arial" w:hAnsi="Arial" w:cs="Arial"/>
        </w:rPr>
        <w:t>iene</w:t>
      </w:r>
      <w:r w:rsidRPr="00C051CA">
        <w:rPr>
          <w:rFonts w:ascii="Arial" w:hAnsi="Arial" w:cs="Arial"/>
        </w:rPr>
        <w:t xml:space="preserve"> preparándose de manera anticipada y rigurosa para una eventual transición. Más de 200 expertos y una inversión superior a 10 millones de dólares han sido destinados al fortalecimiento de </w:t>
      </w:r>
      <w:r w:rsidR="00A86E9F">
        <w:rPr>
          <w:rFonts w:ascii="Arial" w:hAnsi="Arial" w:cs="Arial"/>
        </w:rPr>
        <w:t xml:space="preserve">su </w:t>
      </w:r>
      <w:r w:rsidRPr="00C051CA">
        <w:rPr>
          <w:rFonts w:ascii="Arial" w:hAnsi="Arial" w:cs="Arial"/>
        </w:rPr>
        <w:t xml:space="preserve">infraestructura tecnológica, al desarrollo de la plataforma ACCAI Digital y a la modernización de </w:t>
      </w:r>
      <w:r w:rsidR="00A86E9F">
        <w:rPr>
          <w:rFonts w:ascii="Arial" w:hAnsi="Arial" w:cs="Arial"/>
        </w:rPr>
        <w:t xml:space="preserve">sus </w:t>
      </w:r>
      <w:r w:rsidRPr="00C051CA">
        <w:rPr>
          <w:rFonts w:ascii="Arial" w:hAnsi="Arial" w:cs="Arial"/>
        </w:rPr>
        <w:t xml:space="preserve">procesos, con el objetivo de garantizar un acompañamiento seguro y eficiente a </w:t>
      </w:r>
      <w:r w:rsidR="00A86E9F">
        <w:rPr>
          <w:rFonts w:ascii="Arial" w:hAnsi="Arial" w:cs="Arial"/>
        </w:rPr>
        <w:t>sus a</w:t>
      </w:r>
      <w:r w:rsidRPr="00C051CA">
        <w:rPr>
          <w:rFonts w:ascii="Arial" w:hAnsi="Arial" w:cs="Arial"/>
        </w:rPr>
        <w:t>filiados.</w:t>
      </w:r>
    </w:p>
    <w:p w14:paraId="01882E13" w14:textId="605C4107" w:rsidR="007B746A" w:rsidRDefault="007B746A" w:rsidP="00C051CA">
      <w:pPr>
        <w:jc w:val="both"/>
        <w:rPr>
          <w:rFonts w:ascii="Arial" w:hAnsi="Arial" w:cs="Arial"/>
        </w:rPr>
      </w:pPr>
    </w:p>
    <w:p w14:paraId="7B851CDE" w14:textId="5E59C6E7" w:rsidR="007B746A" w:rsidRPr="007B746A" w:rsidRDefault="007B746A" w:rsidP="007B746A">
      <w:pPr>
        <w:jc w:val="both"/>
        <w:rPr>
          <w:rFonts w:ascii="Arial" w:hAnsi="Arial" w:cs="Arial"/>
        </w:rPr>
      </w:pPr>
      <w:r w:rsidRPr="007B746A">
        <w:rPr>
          <w:rFonts w:ascii="Arial" w:hAnsi="Arial" w:cs="Arial"/>
        </w:rPr>
        <w:t xml:space="preserve">El directivo también envió un mensaje de tranquilidad: </w:t>
      </w:r>
      <w:r w:rsidR="008760E1">
        <w:rPr>
          <w:rFonts w:ascii="Arial" w:hAnsi="Arial" w:cs="Arial"/>
        </w:rPr>
        <w:t>“</w:t>
      </w:r>
      <w:r w:rsidRPr="007B746A">
        <w:rPr>
          <w:rFonts w:ascii="Arial" w:hAnsi="Arial" w:cs="Arial"/>
        </w:rPr>
        <w:t>por ahora, se mantiene vigente el actual sistema pensional establecido por la Ley 100 de 1993, y no es necesario realizar ningún trámite adicional. A los pensionados les reiteró que seguirán recibiendo el pago anticipado de su mesada pensional como se ha venido realizand</w:t>
      </w:r>
      <w:r w:rsidR="008760E1">
        <w:rPr>
          <w:rFonts w:ascii="Arial" w:hAnsi="Arial" w:cs="Arial"/>
        </w:rPr>
        <w:t xml:space="preserve">o”. </w:t>
      </w:r>
    </w:p>
    <w:p w14:paraId="3CB16B3B" w14:textId="77777777" w:rsidR="007B746A" w:rsidRPr="007B746A" w:rsidRDefault="007B746A" w:rsidP="007B746A">
      <w:pPr>
        <w:jc w:val="both"/>
        <w:rPr>
          <w:rFonts w:ascii="Arial" w:hAnsi="Arial" w:cs="Arial"/>
        </w:rPr>
      </w:pPr>
    </w:p>
    <w:p w14:paraId="4E37973D" w14:textId="7D6B9690" w:rsidR="007B746A" w:rsidRDefault="007B746A" w:rsidP="007B746A">
      <w:pPr>
        <w:jc w:val="both"/>
        <w:rPr>
          <w:rFonts w:ascii="Arial" w:hAnsi="Arial" w:cs="Arial"/>
        </w:rPr>
      </w:pPr>
      <w:r w:rsidRPr="007B746A">
        <w:rPr>
          <w:rFonts w:ascii="Arial" w:hAnsi="Arial" w:cs="Arial"/>
        </w:rPr>
        <w:t>“Estamos atentos a la evolución del trámite legislativo y preparados para adaptar nuestras operaciones al marco normativo que se defina, con el fin de contribuir a la consolidación del mejor modelo pensional posible para el país”, concluyó Largacha Martínez.</w:t>
      </w:r>
    </w:p>
    <w:p w14:paraId="04E38EC5" w14:textId="28E8DEC7" w:rsidR="009A2C32" w:rsidRDefault="009A2C32" w:rsidP="00C051CA">
      <w:pPr>
        <w:jc w:val="both"/>
        <w:rPr>
          <w:rFonts w:ascii="Arial" w:hAnsi="Arial" w:cs="Arial"/>
        </w:rPr>
      </w:pPr>
    </w:p>
    <w:p w14:paraId="445A271C" w14:textId="3FFE836B" w:rsidR="00C051CA" w:rsidRPr="00C051CA" w:rsidRDefault="00C051CA" w:rsidP="00C051CA">
      <w:pPr>
        <w:jc w:val="both"/>
        <w:rPr>
          <w:rFonts w:ascii="Arial" w:hAnsi="Arial" w:cs="Arial"/>
          <w:b/>
          <w:bCs/>
        </w:rPr>
      </w:pPr>
      <w:r w:rsidRPr="00C051CA">
        <w:rPr>
          <w:rFonts w:ascii="Arial" w:hAnsi="Arial" w:cs="Arial"/>
          <w:b/>
          <w:bCs/>
        </w:rPr>
        <w:t>Compromiso con el bienestar financiero de los colombianos</w:t>
      </w:r>
    </w:p>
    <w:p w14:paraId="22046FBF" w14:textId="77777777" w:rsidR="00C051CA" w:rsidRPr="00C051CA" w:rsidRDefault="00C051CA" w:rsidP="00C051CA">
      <w:pPr>
        <w:jc w:val="both"/>
        <w:rPr>
          <w:rFonts w:ascii="Arial" w:hAnsi="Arial" w:cs="Arial"/>
        </w:rPr>
      </w:pPr>
    </w:p>
    <w:p w14:paraId="2CD6CF25" w14:textId="71DA110D" w:rsidR="00501661" w:rsidRDefault="00501661" w:rsidP="005016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Miguel Largacha Martínez se refirió al compromiso de la compañía con el progreso financiero de los colombianos a través de </w:t>
      </w:r>
      <w:r w:rsidR="00EB439F">
        <w:rPr>
          <w:rFonts w:ascii="Arial" w:hAnsi="Arial" w:cs="Arial"/>
        </w:rPr>
        <w:t xml:space="preserve">un </w:t>
      </w:r>
      <w:r>
        <w:rPr>
          <w:rFonts w:ascii="Arial" w:hAnsi="Arial" w:cs="Arial"/>
        </w:rPr>
        <w:t>nuevo</w:t>
      </w:r>
      <w:r w:rsidRPr="00501661">
        <w:rPr>
          <w:rFonts w:ascii="Arial" w:hAnsi="Arial" w:cs="Arial"/>
        </w:rPr>
        <w:t xml:space="preserve"> enfoque estratégico</w:t>
      </w:r>
      <w:r>
        <w:rPr>
          <w:rFonts w:ascii="Arial" w:hAnsi="Arial" w:cs="Arial"/>
        </w:rPr>
        <w:t xml:space="preserve"> conocido como</w:t>
      </w:r>
      <w:r w:rsidRPr="00501661">
        <w:rPr>
          <w:rFonts w:ascii="Arial" w:hAnsi="Arial" w:cs="Arial"/>
        </w:rPr>
        <w:t xml:space="preserve"> Bienestar Financiero Sostenible Porvenir (BFSP), un modelo integral de acompañamiento para personas y empresas que aborda los distintos aspectos que conforman una vida financiera equilibrada, consciente y sostenible.</w:t>
      </w:r>
    </w:p>
    <w:p w14:paraId="26FF8BD3" w14:textId="77777777" w:rsidR="00501661" w:rsidRPr="00501661" w:rsidRDefault="00501661" w:rsidP="00501661">
      <w:pPr>
        <w:jc w:val="both"/>
        <w:rPr>
          <w:rFonts w:ascii="Arial" w:hAnsi="Arial" w:cs="Arial"/>
        </w:rPr>
      </w:pPr>
    </w:p>
    <w:p w14:paraId="519B2DDE" w14:textId="6538CB5B" w:rsidR="00C051CA" w:rsidRDefault="00501661" w:rsidP="00C051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“Reiteramos </w:t>
      </w:r>
      <w:r w:rsidR="00C051CA" w:rsidRPr="00C051CA">
        <w:rPr>
          <w:rFonts w:ascii="Arial" w:hAnsi="Arial" w:cs="Arial"/>
        </w:rPr>
        <w:t>nuestra visión de largo plazo centrada en el bienestar financiero de los colombianos. A través de educación, ahorro, inversión y preparación para el retiro, trabajamos día a día para ofrecer soluciones integrales que permitan a las personas tomar decisiones responsables frente a su futuro pensional, sin importar el contexto normativo</w:t>
      </w:r>
      <w:r>
        <w:rPr>
          <w:rFonts w:ascii="Arial" w:hAnsi="Arial" w:cs="Arial"/>
        </w:rPr>
        <w:t>”</w:t>
      </w:r>
      <w:r w:rsidR="00FA2E85">
        <w:rPr>
          <w:rFonts w:ascii="Arial" w:hAnsi="Arial" w:cs="Arial"/>
        </w:rPr>
        <w:t>.</w:t>
      </w:r>
    </w:p>
    <w:p w14:paraId="19BA304F" w14:textId="77777777" w:rsidR="00715E45" w:rsidRPr="00C051CA" w:rsidRDefault="00715E45" w:rsidP="00C051CA">
      <w:pPr>
        <w:jc w:val="both"/>
        <w:rPr>
          <w:rFonts w:ascii="Arial" w:hAnsi="Arial" w:cs="Arial"/>
        </w:rPr>
      </w:pPr>
    </w:p>
    <w:p w14:paraId="493B8F8A" w14:textId="4AE74D3F" w:rsidR="00C051CA" w:rsidRPr="00C051CA" w:rsidRDefault="00501661" w:rsidP="00C051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</w:t>
      </w:r>
      <w:r w:rsidR="00C051CA" w:rsidRPr="00C051CA">
        <w:rPr>
          <w:rFonts w:ascii="Arial" w:hAnsi="Arial" w:cs="Arial"/>
        </w:rPr>
        <w:t xml:space="preserve">Como </w:t>
      </w:r>
      <w:r w:rsidR="00EB439F">
        <w:rPr>
          <w:rFonts w:ascii="Arial" w:hAnsi="Arial" w:cs="Arial"/>
        </w:rPr>
        <w:t>C</w:t>
      </w:r>
      <w:r w:rsidR="00C051CA" w:rsidRPr="00C051CA">
        <w:rPr>
          <w:rFonts w:ascii="Arial" w:hAnsi="Arial" w:cs="Arial"/>
        </w:rPr>
        <w:t>ompañía, seguiremos contribuyendo activamente al diseño e implementación de políticas pensionales que garanticen sostenibilidad, equidad y protección para todos los trabajadores del país</w:t>
      </w:r>
      <w:r>
        <w:rPr>
          <w:rFonts w:ascii="Arial" w:hAnsi="Arial" w:cs="Arial"/>
        </w:rPr>
        <w:t>”, Miguel Largacha Mart</w:t>
      </w:r>
      <w:r w:rsidR="00ED05B4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nez. </w:t>
      </w:r>
    </w:p>
    <w:p w14:paraId="0CFE7E92" w14:textId="77777777" w:rsidR="00C051CA" w:rsidRPr="00C051CA" w:rsidRDefault="00C051CA" w:rsidP="00C051CA">
      <w:pPr>
        <w:rPr>
          <w:rFonts w:ascii="Arial" w:hAnsi="Arial" w:cs="Arial"/>
        </w:rPr>
      </w:pPr>
    </w:p>
    <w:p w14:paraId="532C3BD7" w14:textId="63008B22" w:rsidR="00C051CA" w:rsidRDefault="00C051CA" w:rsidP="00ED7F02">
      <w:pPr>
        <w:jc w:val="both"/>
        <w:rPr>
          <w:rFonts w:ascii="Arial" w:hAnsi="Arial" w:cs="Arial"/>
        </w:rPr>
      </w:pPr>
    </w:p>
    <w:p w14:paraId="09ED6BE8" w14:textId="74515C73" w:rsidR="00C051CA" w:rsidRDefault="00C051CA" w:rsidP="00ED7F02">
      <w:pPr>
        <w:jc w:val="both"/>
        <w:rPr>
          <w:rFonts w:ascii="Arial" w:hAnsi="Arial" w:cs="Arial"/>
        </w:rPr>
      </w:pPr>
    </w:p>
    <w:p w14:paraId="6B7193C6" w14:textId="77777777" w:rsidR="00303F10" w:rsidRDefault="00303F10" w:rsidP="00ED7F02">
      <w:pPr>
        <w:jc w:val="both"/>
        <w:rPr>
          <w:rFonts w:ascii="Arial" w:hAnsi="Arial" w:cs="Arial"/>
        </w:rPr>
      </w:pPr>
    </w:p>
    <w:p w14:paraId="6781FC7F" w14:textId="44E28D48" w:rsidR="00303F10" w:rsidRPr="00B81A1F" w:rsidRDefault="00303F10" w:rsidP="00014A7F">
      <w:pPr>
        <w:jc w:val="center"/>
        <w:rPr>
          <w:rFonts w:ascii="Arial" w:hAnsi="Arial" w:cs="Arial"/>
        </w:rPr>
      </w:pPr>
      <w:r w:rsidRPr="00303F10">
        <w:rPr>
          <w:rFonts w:ascii="Arial" w:hAnsi="Arial" w:cs="Arial"/>
        </w:rPr>
        <w:t xml:space="preserve">Para más información de Porvenir, visite la oficina de prensa </w:t>
      </w:r>
      <w:hyperlink r:id="rId8" w:history="1">
        <w:r w:rsidRPr="009F712F">
          <w:rPr>
            <w:rStyle w:val="Hipervnculo"/>
            <w:rFonts w:ascii="Arial" w:hAnsi="Arial" w:cs="Arial"/>
          </w:rPr>
          <w:t>https://www.porvenir.com.co/web/centro-de-noticias</w:t>
        </w:r>
      </w:hyperlink>
    </w:p>
    <w:sectPr w:rsidR="00303F10" w:rsidRPr="00B81A1F" w:rsidSect="009B551D">
      <w:headerReference w:type="default" r:id="rId9"/>
      <w:pgSz w:w="12240" w:h="15840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0064" w14:textId="77777777" w:rsidR="000F12EC" w:rsidRPr="005C684B" w:rsidRDefault="000F12EC" w:rsidP="00170117">
      <w:r w:rsidRPr="005C684B">
        <w:separator/>
      </w:r>
    </w:p>
  </w:endnote>
  <w:endnote w:type="continuationSeparator" w:id="0">
    <w:p w14:paraId="0FBDBBEE" w14:textId="77777777" w:rsidR="000F12EC" w:rsidRPr="005C684B" w:rsidRDefault="000F12EC" w:rsidP="00170117">
      <w:r w:rsidRPr="005C68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932E5" w14:textId="77777777" w:rsidR="000F12EC" w:rsidRPr="005C684B" w:rsidRDefault="000F12EC" w:rsidP="00170117">
      <w:r w:rsidRPr="005C684B">
        <w:separator/>
      </w:r>
    </w:p>
  </w:footnote>
  <w:footnote w:type="continuationSeparator" w:id="0">
    <w:p w14:paraId="76DC6712" w14:textId="77777777" w:rsidR="000F12EC" w:rsidRPr="005C684B" w:rsidRDefault="000F12EC" w:rsidP="00170117">
      <w:r w:rsidRPr="005C68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5683" w14:textId="0210D0A6" w:rsidR="00170117" w:rsidRPr="005C684B" w:rsidRDefault="00AB06FB" w:rsidP="00170117">
    <w:pPr>
      <w:pStyle w:val="Encabezado"/>
    </w:pPr>
    <w:r w:rsidRPr="005C684B">
      <w:rPr>
        <w:noProof/>
      </w:rPr>
      <w:drawing>
        <wp:anchor distT="0" distB="0" distL="114300" distR="114300" simplePos="0" relativeHeight="251658240" behindDoc="1" locked="0" layoutInCell="1" allowOverlap="1" wp14:anchorId="5A211445" wp14:editId="5DFE727B">
          <wp:simplePos x="0" y="0"/>
          <wp:positionH relativeFrom="column">
            <wp:posOffset>-720090</wp:posOffset>
          </wp:positionH>
          <wp:positionV relativeFrom="paragraph">
            <wp:posOffset>-450216</wp:posOffset>
          </wp:positionV>
          <wp:extent cx="7769083" cy="10066867"/>
          <wp:effectExtent l="0" t="0" r="3810" b="4445"/>
          <wp:wrapNone/>
          <wp:docPr id="93705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051947" name="Imagen 9370519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806" cy="100989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DA61B5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0C56E7"/>
    <w:multiLevelType w:val="hybridMultilevel"/>
    <w:tmpl w:val="243C69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C471D"/>
    <w:multiLevelType w:val="hybridMultilevel"/>
    <w:tmpl w:val="BB1233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677E"/>
    <w:multiLevelType w:val="hybridMultilevel"/>
    <w:tmpl w:val="1EE8FE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A5C73"/>
    <w:multiLevelType w:val="hybridMultilevel"/>
    <w:tmpl w:val="DA92A360"/>
    <w:lvl w:ilvl="0" w:tplc="25801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A4B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189B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668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840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66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663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A0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82FA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F17F7"/>
    <w:multiLevelType w:val="hybridMultilevel"/>
    <w:tmpl w:val="0D5E0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A3175"/>
    <w:multiLevelType w:val="hybridMultilevel"/>
    <w:tmpl w:val="36FE01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65595"/>
    <w:multiLevelType w:val="hybridMultilevel"/>
    <w:tmpl w:val="1C0071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02EA8"/>
    <w:multiLevelType w:val="hybridMultilevel"/>
    <w:tmpl w:val="22AC90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02B3F"/>
    <w:multiLevelType w:val="multilevel"/>
    <w:tmpl w:val="896A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544DF"/>
    <w:multiLevelType w:val="multilevel"/>
    <w:tmpl w:val="B7A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014D3"/>
    <w:multiLevelType w:val="hybridMultilevel"/>
    <w:tmpl w:val="C66E1A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31476"/>
    <w:multiLevelType w:val="multilevel"/>
    <w:tmpl w:val="4A0C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C85796"/>
    <w:multiLevelType w:val="hybridMultilevel"/>
    <w:tmpl w:val="DE120D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738E2"/>
    <w:multiLevelType w:val="hybridMultilevel"/>
    <w:tmpl w:val="7CD8D46C"/>
    <w:lvl w:ilvl="0" w:tplc="776E3ACE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04DFD4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4541DCA"/>
    <w:multiLevelType w:val="multilevel"/>
    <w:tmpl w:val="0C767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F70B1E"/>
    <w:multiLevelType w:val="hybridMultilevel"/>
    <w:tmpl w:val="3BFCAE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F23EA"/>
    <w:multiLevelType w:val="hybridMultilevel"/>
    <w:tmpl w:val="F970F3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CD5774"/>
    <w:multiLevelType w:val="multilevel"/>
    <w:tmpl w:val="9A842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8E2DE0"/>
    <w:multiLevelType w:val="multilevel"/>
    <w:tmpl w:val="2934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756CB"/>
    <w:multiLevelType w:val="multilevel"/>
    <w:tmpl w:val="0606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19"/>
  </w:num>
  <w:num w:numId="8">
    <w:abstractNumId w:val="6"/>
  </w:num>
  <w:num w:numId="9">
    <w:abstractNumId w:val="20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2"/>
  </w:num>
  <w:num w:numId="15">
    <w:abstractNumId w:val="21"/>
  </w:num>
  <w:num w:numId="16">
    <w:abstractNumId w:val="16"/>
  </w:num>
  <w:num w:numId="17">
    <w:abstractNumId w:val="10"/>
  </w:num>
  <w:num w:numId="18">
    <w:abstractNumId w:val="17"/>
  </w:num>
  <w:num w:numId="19">
    <w:abstractNumId w:val="3"/>
  </w:num>
  <w:num w:numId="20">
    <w:abstractNumId w:val="7"/>
  </w:num>
  <w:num w:numId="21">
    <w:abstractNumId w:val="14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17"/>
    <w:rsid w:val="00005522"/>
    <w:rsid w:val="00014A7F"/>
    <w:rsid w:val="0001715D"/>
    <w:rsid w:val="00042E28"/>
    <w:rsid w:val="000665D5"/>
    <w:rsid w:val="00073583"/>
    <w:rsid w:val="000766A4"/>
    <w:rsid w:val="000854ED"/>
    <w:rsid w:val="000B096E"/>
    <w:rsid w:val="000B33BF"/>
    <w:rsid w:val="000F12EC"/>
    <w:rsid w:val="0011102E"/>
    <w:rsid w:val="0011676A"/>
    <w:rsid w:val="00127ED5"/>
    <w:rsid w:val="00165187"/>
    <w:rsid w:val="00170117"/>
    <w:rsid w:val="001A2067"/>
    <w:rsid w:val="001A422B"/>
    <w:rsid w:val="001A4D9B"/>
    <w:rsid w:val="001B1823"/>
    <w:rsid w:val="001B1C53"/>
    <w:rsid w:val="001C3C02"/>
    <w:rsid w:val="001C4AA5"/>
    <w:rsid w:val="0020681B"/>
    <w:rsid w:val="0021380F"/>
    <w:rsid w:val="00226BE1"/>
    <w:rsid w:val="00227A2D"/>
    <w:rsid w:val="00235973"/>
    <w:rsid w:val="00243A9F"/>
    <w:rsid w:val="00271B92"/>
    <w:rsid w:val="002733D3"/>
    <w:rsid w:val="00284E76"/>
    <w:rsid w:val="002B5FAE"/>
    <w:rsid w:val="002C7409"/>
    <w:rsid w:val="002F6211"/>
    <w:rsid w:val="00302E90"/>
    <w:rsid w:val="00303F10"/>
    <w:rsid w:val="00306C10"/>
    <w:rsid w:val="00313CE7"/>
    <w:rsid w:val="00324F69"/>
    <w:rsid w:val="00340682"/>
    <w:rsid w:val="003A5B2E"/>
    <w:rsid w:val="003B05F8"/>
    <w:rsid w:val="003B2FF3"/>
    <w:rsid w:val="003C64E5"/>
    <w:rsid w:val="003F27C2"/>
    <w:rsid w:val="003F2FBA"/>
    <w:rsid w:val="003F3989"/>
    <w:rsid w:val="0042680B"/>
    <w:rsid w:val="004352D0"/>
    <w:rsid w:val="00445984"/>
    <w:rsid w:val="004715AB"/>
    <w:rsid w:val="0047292C"/>
    <w:rsid w:val="00494F82"/>
    <w:rsid w:val="004C7CE2"/>
    <w:rsid w:val="004E2F56"/>
    <w:rsid w:val="004E44A2"/>
    <w:rsid w:val="0050132B"/>
    <w:rsid w:val="00501661"/>
    <w:rsid w:val="005114C9"/>
    <w:rsid w:val="00516C5E"/>
    <w:rsid w:val="00534DAC"/>
    <w:rsid w:val="0054446D"/>
    <w:rsid w:val="005566ED"/>
    <w:rsid w:val="00570B2E"/>
    <w:rsid w:val="00584C00"/>
    <w:rsid w:val="005A70F3"/>
    <w:rsid w:val="005C266C"/>
    <w:rsid w:val="005C684B"/>
    <w:rsid w:val="005D427E"/>
    <w:rsid w:val="006479F2"/>
    <w:rsid w:val="0065123F"/>
    <w:rsid w:val="00693E31"/>
    <w:rsid w:val="00696B0C"/>
    <w:rsid w:val="006B5E74"/>
    <w:rsid w:val="006D4A97"/>
    <w:rsid w:val="00715E45"/>
    <w:rsid w:val="00780648"/>
    <w:rsid w:val="00793EB6"/>
    <w:rsid w:val="007A664C"/>
    <w:rsid w:val="007A7CC7"/>
    <w:rsid w:val="007B5526"/>
    <w:rsid w:val="007B746A"/>
    <w:rsid w:val="007C63A6"/>
    <w:rsid w:val="007E377F"/>
    <w:rsid w:val="00801BDB"/>
    <w:rsid w:val="008260E1"/>
    <w:rsid w:val="0083124C"/>
    <w:rsid w:val="00840B6B"/>
    <w:rsid w:val="0084536F"/>
    <w:rsid w:val="008760E1"/>
    <w:rsid w:val="008A6203"/>
    <w:rsid w:val="008C1D47"/>
    <w:rsid w:val="008C40AB"/>
    <w:rsid w:val="008D12F5"/>
    <w:rsid w:val="008F680E"/>
    <w:rsid w:val="00902EB0"/>
    <w:rsid w:val="00906D2A"/>
    <w:rsid w:val="00925809"/>
    <w:rsid w:val="009324C1"/>
    <w:rsid w:val="0093735D"/>
    <w:rsid w:val="00956DE1"/>
    <w:rsid w:val="009A2C32"/>
    <w:rsid w:val="009A6219"/>
    <w:rsid w:val="009B551D"/>
    <w:rsid w:val="009B57F8"/>
    <w:rsid w:val="009C08F8"/>
    <w:rsid w:val="009D4369"/>
    <w:rsid w:val="009D6500"/>
    <w:rsid w:val="009E24A3"/>
    <w:rsid w:val="009E49B4"/>
    <w:rsid w:val="00A1642F"/>
    <w:rsid w:val="00A4224C"/>
    <w:rsid w:val="00A558B8"/>
    <w:rsid w:val="00A86E9F"/>
    <w:rsid w:val="00A87D4E"/>
    <w:rsid w:val="00AB06FB"/>
    <w:rsid w:val="00AF3D70"/>
    <w:rsid w:val="00B13841"/>
    <w:rsid w:val="00B13B3F"/>
    <w:rsid w:val="00B25F4E"/>
    <w:rsid w:val="00B321CC"/>
    <w:rsid w:val="00B33B24"/>
    <w:rsid w:val="00B427DE"/>
    <w:rsid w:val="00B459BF"/>
    <w:rsid w:val="00B64189"/>
    <w:rsid w:val="00B65D27"/>
    <w:rsid w:val="00B91FE5"/>
    <w:rsid w:val="00B924C8"/>
    <w:rsid w:val="00BE5B67"/>
    <w:rsid w:val="00BF460B"/>
    <w:rsid w:val="00C051CA"/>
    <w:rsid w:val="00C25405"/>
    <w:rsid w:val="00C306E5"/>
    <w:rsid w:val="00C65466"/>
    <w:rsid w:val="00C70616"/>
    <w:rsid w:val="00C75BFF"/>
    <w:rsid w:val="00C7741E"/>
    <w:rsid w:val="00C828C6"/>
    <w:rsid w:val="00C93FBD"/>
    <w:rsid w:val="00CA1198"/>
    <w:rsid w:val="00CC21B6"/>
    <w:rsid w:val="00CE289B"/>
    <w:rsid w:val="00CF68F8"/>
    <w:rsid w:val="00D03599"/>
    <w:rsid w:val="00D04A98"/>
    <w:rsid w:val="00D1786F"/>
    <w:rsid w:val="00D41136"/>
    <w:rsid w:val="00DB2457"/>
    <w:rsid w:val="00DD48C0"/>
    <w:rsid w:val="00DE466C"/>
    <w:rsid w:val="00E01C95"/>
    <w:rsid w:val="00E04DA7"/>
    <w:rsid w:val="00E06AAA"/>
    <w:rsid w:val="00E17842"/>
    <w:rsid w:val="00E26378"/>
    <w:rsid w:val="00E4693F"/>
    <w:rsid w:val="00E46C40"/>
    <w:rsid w:val="00E47736"/>
    <w:rsid w:val="00E72006"/>
    <w:rsid w:val="00E9533A"/>
    <w:rsid w:val="00E9715B"/>
    <w:rsid w:val="00EA10E9"/>
    <w:rsid w:val="00EB439F"/>
    <w:rsid w:val="00ED05B4"/>
    <w:rsid w:val="00ED7F02"/>
    <w:rsid w:val="00F13266"/>
    <w:rsid w:val="00F26852"/>
    <w:rsid w:val="00F55773"/>
    <w:rsid w:val="00FA2E85"/>
    <w:rsid w:val="00FA7417"/>
    <w:rsid w:val="00FE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8331F8"/>
  <w15:chartTrackingRefBased/>
  <w15:docId w15:val="{5FBA1419-CED1-A140-8C1B-D9B740DE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0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0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0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0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0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0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0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0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011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011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011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011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011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011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0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01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0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01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011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011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011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011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011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701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117"/>
  </w:style>
  <w:style w:type="paragraph" w:styleId="Piedepgina">
    <w:name w:val="footer"/>
    <w:basedOn w:val="Normal"/>
    <w:link w:val="PiedepginaCar"/>
    <w:uiPriority w:val="99"/>
    <w:unhideWhenUsed/>
    <w:rsid w:val="001701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117"/>
  </w:style>
  <w:style w:type="character" w:customStyle="1" w:styleId="ui-provider">
    <w:name w:val="ui-provider"/>
    <w:basedOn w:val="Fuentedeprrafopredeter"/>
    <w:rsid w:val="00B25F4E"/>
  </w:style>
  <w:style w:type="character" w:styleId="Hipervnculo">
    <w:name w:val="Hyperlink"/>
    <w:basedOn w:val="Fuentedeprrafopredeter"/>
    <w:uiPriority w:val="99"/>
    <w:unhideWhenUsed/>
    <w:rsid w:val="00B25F4E"/>
    <w:rPr>
      <w:color w:val="467886" w:themeColor="hyperlink"/>
      <w:u w:val="single"/>
    </w:rPr>
  </w:style>
  <w:style w:type="paragraph" w:styleId="Revisin">
    <w:name w:val="Revision"/>
    <w:hidden/>
    <w:uiPriority w:val="99"/>
    <w:semiHidden/>
    <w:rsid w:val="00DD48C0"/>
  </w:style>
  <w:style w:type="character" w:styleId="Hipervnculovisitado">
    <w:name w:val="FollowedHyperlink"/>
    <w:basedOn w:val="Fuentedeprrafopredeter"/>
    <w:uiPriority w:val="99"/>
    <w:semiHidden/>
    <w:unhideWhenUsed/>
    <w:rsid w:val="009E49B4"/>
    <w:rPr>
      <w:color w:val="96607D" w:themeColor="followedHyperlink"/>
      <w:u w:val="single"/>
    </w:rPr>
  </w:style>
  <w:style w:type="paragraph" w:styleId="Sinespaciado">
    <w:name w:val="No Spacing"/>
    <w:uiPriority w:val="1"/>
    <w:qFormat/>
    <w:rsid w:val="009E49B4"/>
  </w:style>
  <w:style w:type="paragraph" w:styleId="NormalWeb">
    <w:name w:val="Normal (Web)"/>
    <w:basedOn w:val="Normal"/>
    <w:uiPriority w:val="99"/>
    <w:unhideWhenUsed/>
    <w:rsid w:val="000665D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0665D5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03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3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821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venir.com.co/web/centro-de-noti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2E2AE-B319-4D1E-85C9-611558C3D9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a76712-94f6-46a2-9155-31bd8b76f937}" enabled="0" method="" siteId="{10a76712-94f6-46a2-9155-31bd8b76f9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Ma.Isa</dc:creator>
  <cp:keywords/>
  <dc:description/>
  <cp:lastModifiedBy>Martha Isabel Gonzalez</cp:lastModifiedBy>
  <cp:revision>2</cp:revision>
  <dcterms:created xsi:type="dcterms:W3CDTF">2025-06-18T22:29:00Z</dcterms:created>
  <dcterms:modified xsi:type="dcterms:W3CDTF">2025-06-18T22:29:00Z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b5e058c90e11e147e0d51c5fe137718473f25926e71f5069b15dd034b55e33ca</vt:lpwstr>
  </property>
</Properties>
</file>