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76C8" w14:textId="6421111B" w:rsidR="0060326F" w:rsidRDefault="0060326F" w:rsidP="0060326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</w:pPr>
      <w:r>
        <w:rPr>
          <w:b/>
          <w:bCs/>
          <w:noProof/>
          <w:sz w:val="28"/>
          <w:szCs w:val="28"/>
          <w:lang w:val="es-ES"/>
        </w:rPr>
        <w:drawing>
          <wp:inline distT="0" distB="0" distL="0" distR="0" wp14:anchorId="639A1CC3" wp14:editId="252FE50A">
            <wp:extent cx="5612130" cy="1050290"/>
            <wp:effectExtent l="95250" t="38100" r="45720" b="927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 agencia de noticias 2023_Agenci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029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83BBB4" w14:textId="3972690E" w:rsidR="00221B94" w:rsidRDefault="00221B94" w:rsidP="0060326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</w:pPr>
      <w:r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 xml:space="preserve">La Clínica Jurídica de la UPB logró que </w:t>
      </w:r>
      <w:r w:rsidR="00252BDA"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>se les</w:t>
      </w:r>
      <w:r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 xml:space="preserve"> </w:t>
      </w:r>
      <w:r w:rsidR="004E31BE"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>concedieran nuevos</w:t>
      </w:r>
      <w:r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 xml:space="preserve"> derechos a </w:t>
      </w:r>
      <w:r w:rsidR="0060326F"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 xml:space="preserve">las </w:t>
      </w:r>
      <w:r w:rsidRPr="0060326F">
        <w:rPr>
          <w:rFonts w:ascii="Arial" w:eastAsia="Times New Roman" w:hAnsi="Arial" w:cs="Arial"/>
          <w:b/>
          <w:color w:val="000000"/>
          <w:sz w:val="32"/>
          <w:szCs w:val="24"/>
          <w:bdr w:val="none" w:sz="0" w:space="0" w:color="auto" w:frame="1"/>
          <w:lang w:eastAsia="es-CO"/>
        </w:rPr>
        <w:t>personas adoptivas</w:t>
      </w:r>
    </w:p>
    <w:p w14:paraId="08DBDC1C" w14:textId="473901C1" w:rsidR="00A45CF3" w:rsidRDefault="00A45CF3" w:rsidP="00A45CF3">
      <w:pPr>
        <w:spacing w:before="100" w:beforeAutospacing="1" w:after="100" w:afterAutospacing="1"/>
        <w:jc w:val="center"/>
        <w:textAlignment w:val="baseline"/>
        <w:rPr>
          <w:rFonts w:ascii="Aptos" w:hAnsi="Aptos"/>
          <w:b/>
          <w:bCs/>
          <w:color w:val="000000"/>
          <w:sz w:val="32"/>
          <w:szCs w:val="32"/>
          <w:bdr w:val="none" w:sz="0" w:space="0" w:color="auto" w:frame="1"/>
          <w:lang w:eastAsia="es-CO"/>
        </w:rPr>
      </w:pPr>
      <w:r>
        <w:rPr>
          <w:rFonts w:ascii="Aptos" w:hAnsi="Aptos"/>
          <w:b/>
          <w:noProof/>
          <w:color w:val="000000"/>
          <w:sz w:val="32"/>
          <w:szCs w:val="32"/>
          <w:bdr w:val="none" w:sz="0" w:space="0" w:color="auto" w:frame="1"/>
          <w:lang w:eastAsia="es-CO"/>
        </w:rPr>
        <w:drawing>
          <wp:inline distT="0" distB="0" distL="0" distR="0" wp14:anchorId="585D2832" wp14:editId="130BA2B4">
            <wp:extent cx="4323080" cy="2880586"/>
            <wp:effectExtent l="0" t="0" r="1270" b="0"/>
            <wp:docPr id="12990228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660" cy="28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E768" w14:textId="27B02887" w:rsidR="00A45CF3" w:rsidRPr="00A45CF3" w:rsidRDefault="00A45CF3" w:rsidP="00A45CF3">
      <w:pPr>
        <w:spacing w:before="100" w:beforeAutospacing="1" w:after="100" w:afterAutospacing="1"/>
        <w:jc w:val="center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</w:pPr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 xml:space="preserve">De Izq. a derecha </w:t>
      </w:r>
      <w:proofErr w:type="spellStart"/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>Enán</w:t>
      </w:r>
      <w:proofErr w:type="spellEnd"/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 xml:space="preserve"> Enrique Arrieta Burgos Miguel Diez </w:t>
      </w:r>
      <w:proofErr w:type="spellStart"/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>Rugeles</w:t>
      </w:r>
      <w:proofErr w:type="spellEnd"/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 xml:space="preserve"> Andrés Felipe Duque Pedroza y Hernán Vélez </w:t>
      </w:r>
      <w:proofErr w:type="spellStart"/>
      <w:r w:rsidRPr="00A45CF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es-CO"/>
        </w:rPr>
        <w:t>Vélez</w:t>
      </w:r>
      <w:proofErr w:type="spellEnd"/>
    </w:p>
    <w:p w14:paraId="75350F4E" w14:textId="7E9185D5" w:rsidR="0060326F" w:rsidRPr="0060326F" w:rsidRDefault="0060326F" w:rsidP="0060326F">
      <w:pPr>
        <w:pStyle w:val="Prrafodelista"/>
        <w:numPr>
          <w:ilvl w:val="0"/>
          <w:numId w:val="2"/>
        </w:num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60326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Las personas adoptadas estarán exentas de declarar en contra de sus abuelos, nietos, hermanos, tíos, sobrinos o primos en un proceso de extinción de dominio. </w:t>
      </w:r>
    </w:p>
    <w:p w14:paraId="274F67E3" w14:textId="35663ECB" w:rsidR="00C90477" w:rsidRPr="007338E5" w:rsidRDefault="00C90477" w:rsidP="00252BDA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La Clínica Jurídica 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de la Universidad Pontificia Bolivariana </w:t>
      </w:r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logró que la Corte Constitucional declarará la </w:t>
      </w:r>
      <w:proofErr w:type="spellStart"/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inexequibilidad</w:t>
      </w:r>
      <w:proofErr w:type="spellEnd"/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de</w:t>
      </w:r>
      <w:r w:rsidR="002569DA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 artículo 175</w:t>
      </w:r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del Código de Extinción de Dominio 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al demostrar que este</w:t>
      </w:r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presentaba discriminación </w:t>
      </w:r>
      <w:r w:rsidR="00126813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con</w:t>
      </w:r>
      <w:r w:rsidRPr="00C904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E038DD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las personas adoptadas.</w:t>
      </w:r>
    </w:p>
    <w:p w14:paraId="2C513599" w14:textId="2BF8BB02" w:rsidR="00B43B0A" w:rsidRPr="007338E5" w:rsidRDefault="002569DA" w:rsidP="00252BDA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Este artículo</w:t>
      </w:r>
      <w:r w:rsidR="00B43B0A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, Excepción al deber de declarar, afirma que </w:t>
      </w:r>
      <w:r w:rsidR="00962DF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los colombianos no están obligados a </w:t>
      </w:r>
      <w:r w:rsidR="007B740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testificar</w:t>
      </w:r>
      <w:r w:rsidR="00962DF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en </w:t>
      </w:r>
      <w:r w:rsidR="00B43B0A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contra </w:t>
      </w:r>
      <w:r w:rsidR="00962DF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B43B0A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sus parientes hasta el cuarto grado de consanguinidad</w:t>
      </w:r>
      <w:r w:rsidR="00962DF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 segundo de afinidad y primero civil, padre o hijo adoptivo</w:t>
      </w:r>
      <w:r w:rsidR="00B43B0A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 en un proceso de extinción de dominio, pero la norma no e</w:t>
      </w:r>
      <w:r w:rsidR="007E5E3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xonera</w:t>
      </w:r>
      <w:r w:rsidR="00962DF5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a los abuelos, nietos, hermanos, tíos, sobrinos o primos civiles, que son aquellos relacionados por la adopción.</w:t>
      </w:r>
    </w:p>
    <w:p w14:paraId="3EA130BA" w14:textId="227B2456" w:rsidR="00F7331D" w:rsidRPr="007338E5" w:rsidRDefault="007E5E35" w:rsidP="00252BDA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A partir de esta situación,</w:t>
      </w:r>
      <w:r w:rsidR="00F7331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la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Clínica Jurídica</w:t>
      </w:r>
      <w:r w:rsidR="002E639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presentó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una demanda para que se </w:t>
      </w:r>
      <w:r w:rsidR="002E639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aplicaran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las mismas garantías que existen para los parentescos consanguíneos a los de relación civil, argumentando que la discriminación se manifiesta en el hecho de que no es necesario testificar en contra de un abuelo consanguíneo, pero sí </w:t>
      </w:r>
      <w:r w:rsidR="006032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se debe hacer cuando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se trata de un abuelo adoptivo. </w:t>
      </w:r>
      <w:r w:rsidR="0036678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La corte constitucional </w:t>
      </w:r>
    </w:p>
    <w:p w14:paraId="3C45F17A" w14:textId="024968A4" w:rsidR="00366784" w:rsidRDefault="007338E5" w:rsidP="00252BDA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Esta demanda</w:t>
      </w:r>
      <w:r w:rsid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, que en este caso estuvo a cargo de los docentes de la UPB </w:t>
      </w:r>
      <w:proofErr w:type="spellStart"/>
      <w:r w:rsidR="004D6ED4" w:rsidRP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Enán</w:t>
      </w:r>
      <w:proofErr w:type="spellEnd"/>
      <w:r w:rsidR="004D6ED4" w:rsidRP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Enrique Arrieta Burgos, </w:t>
      </w:r>
      <w:r w:rsidR="00EC6702" w:rsidRPr="00EC670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Miguel D</w:t>
      </w:r>
      <w:r w:rsidR="000C5C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í</w:t>
      </w:r>
      <w:r w:rsidR="00EC6702" w:rsidRPr="00EC670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ez </w:t>
      </w:r>
      <w:proofErr w:type="spellStart"/>
      <w:r w:rsidR="00EC6702" w:rsidRPr="00EC670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Rugeles</w:t>
      </w:r>
      <w:proofErr w:type="spellEnd"/>
      <w:r w:rsidR="00EC670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="004D6ED4" w:rsidRP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Andrés Felipe Duque Pedroza y Hernán Vélez </w:t>
      </w:r>
      <w:proofErr w:type="spellStart"/>
      <w:r w:rsidR="004D6ED4" w:rsidRP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Vélez</w:t>
      </w:r>
      <w:proofErr w:type="spellEnd"/>
      <w:r w:rsidR="004D6E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fue analizada por la Corte Constitucional, quien solicitó opiniones de varias instituciones expertas en la materia, como universidades, el Ministerio de Justicia y la Fiscalía General de la Nación</w:t>
      </w:r>
      <w:r w:rsidR="0036678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, concluyendo que el derecho a no incriminar a la familia se extiende también hasta el cuarto grado de </w:t>
      </w:r>
      <w:r w:rsidR="000C5C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parentesco civil.</w:t>
      </w:r>
    </w:p>
    <w:p w14:paraId="11A0E7E0" w14:textId="624D9DB3" w:rsidR="007338E5" w:rsidRPr="007338E5" w:rsidRDefault="007338E5" w:rsidP="00252BDA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“Casi todos los convocados estimaron que la norma en efecto era inconstitucional porque da un trato discriminatorio y desigual”, aseveró Andrés Felipe Duque Pedroza, docente de la UPB y coautor de la demanda.</w:t>
      </w:r>
    </w:p>
    <w:p w14:paraId="64EC34CB" w14:textId="77777777" w:rsidR="009B538B" w:rsidRPr="007338E5" w:rsidRDefault="007338E5" w:rsidP="00252BDA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 Clínica Jurídica de la UPB hace parte de la Facultad de Derecho de la institución y en ella participan tanto profesores como estudiantes. El propósito de este proyecto es promover el aprendizaje y la enseñanza del derecho desde una perspectiva práctica, dentro del cual se realizan análisis de situaciones reales para buscar algún impacto en la operatividad del derecho.</w:t>
      </w:r>
    </w:p>
    <w:p w14:paraId="54B24755" w14:textId="59112E06" w:rsidR="007338E5" w:rsidRDefault="007338E5" w:rsidP="00252BDA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7338E5">
        <w:rPr>
          <w:rFonts w:ascii="Arial" w:hAnsi="Arial" w:cs="Arial"/>
          <w:sz w:val="24"/>
          <w:szCs w:val="24"/>
        </w:rPr>
        <w:t>“La Clínica Jurídica hace un aporte important</w:t>
      </w:r>
      <w:r w:rsidR="002E6393">
        <w:rPr>
          <w:rFonts w:ascii="Arial" w:hAnsi="Arial" w:cs="Arial"/>
          <w:sz w:val="24"/>
          <w:szCs w:val="24"/>
        </w:rPr>
        <w:t>e</w:t>
      </w:r>
      <w:r w:rsidRPr="007338E5">
        <w:rPr>
          <w:rFonts w:ascii="Arial" w:hAnsi="Arial" w:cs="Arial"/>
          <w:sz w:val="24"/>
          <w:szCs w:val="24"/>
        </w:rPr>
        <w:t xml:space="preserve"> para el derecho en sí mismo </w:t>
      </w:r>
      <w:r w:rsidR="002E6393">
        <w:rPr>
          <w:rFonts w:ascii="Arial" w:hAnsi="Arial" w:cs="Arial"/>
          <w:sz w:val="24"/>
          <w:szCs w:val="24"/>
        </w:rPr>
        <w:t>e incluso</w:t>
      </w:r>
      <w:r w:rsidRPr="007338E5">
        <w:rPr>
          <w:rFonts w:ascii="Arial" w:hAnsi="Arial" w:cs="Arial"/>
          <w:sz w:val="24"/>
          <w:szCs w:val="24"/>
        </w:rPr>
        <w:t xml:space="preserve"> para la sociedad, porque cuando la corte define cualquiera de estas demandas lo que hace es establecer los parámetros de interpretación de las normas jurídicas”, concluyó el</w:t>
      </w:r>
      <w:r w:rsidRPr="007338E5">
        <w:t xml:space="preserve"> </w:t>
      </w:r>
      <w:r w:rsidR="007A540E" w:rsidRPr="007338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Andrés Felipe Duque Pedroza, docente de la UPB</w:t>
      </w:r>
      <w:r w:rsidR="00221B9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031F7B1E" w14:textId="69C2E6B1" w:rsidR="00F7331D" w:rsidRDefault="00F7331D" w:rsidP="00252BDA">
      <w:pPr>
        <w:spacing w:line="240" w:lineRule="auto"/>
        <w:jc w:val="both"/>
      </w:pPr>
    </w:p>
    <w:p w14:paraId="56CB593E" w14:textId="6CE4F74C" w:rsidR="00F7331D" w:rsidRDefault="00F7331D" w:rsidP="00252BDA">
      <w:pPr>
        <w:spacing w:line="240" w:lineRule="auto"/>
        <w:jc w:val="both"/>
      </w:pPr>
    </w:p>
    <w:sectPr w:rsidR="00F73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66C"/>
    <w:multiLevelType w:val="multilevel"/>
    <w:tmpl w:val="AA9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3FB1"/>
    <w:multiLevelType w:val="hybridMultilevel"/>
    <w:tmpl w:val="4050CD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151532">
    <w:abstractNumId w:val="0"/>
  </w:num>
  <w:num w:numId="2" w16cid:durableId="76018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7"/>
    <w:rsid w:val="000750B6"/>
    <w:rsid w:val="000C5C01"/>
    <w:rsid w:val="000D0BD3"/>
    <w:rsid w:val="00126813"/>
    <w:rsid w:val="001510A8"/>
    <w:rsid w:val="00221B94"/>
    <w:rsid w:val="00252BDA"/>
    <w:rsid w:val="002569DA"/>
    <w:rsid w:val="00295B6A"/>
    <w:rsid w:val="002E6393"/>
    <w:rsid w:val="00366784"/>
    <w:rsid w:val="004D6ED4"/>
    <w:rsid w:val="004E31BE"/>
    <w:rsid w:val="0060326F"/>
    <w:rsid w:val="007338E5"/>
    <w:rsid w:val="007A540E"/>
    <w:rsid w:val="007B7400"/>
    <w:rsid w:val="007E5E35"/>
    <w:rsid w:val="00962DF5"/>
    <w:rsid w:val="009B538B"/>
    <w:rsid w:val="00A45CF3"/>
    <w:rsid w:val="00B43B0A"/>
    <w:rsid w:val="00C90477"/>
    <w:rsid w:val="00E038DD"/>
    <w:rsid w:val="00EC6702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CEA"/>
  <w15:chartTrackingRefBased/>
  <w15:docId w15:val="{2B27CEA9-275F-45A4-BEBC-90A6008D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E76B45E3D44F8169A87596F82331" ma:contentTypeVersion="20" ma:contentTypeDescription="Create a new document." ma:contentTypeScope="" ma:versionID="092db880c38f9b3521720f742869eb56">
  <xsd:schema xmlns:xsd="http://www.w3.org/2001/XMLSchema" xmlns:xs="http://www.w3.org/2001/XMLSchema" xmlns:p="http://schemas.microsoft.com/office/2006/metadata/properties" xmlns:ns1="http://schemas.microsoft.com/sharepoint/v3" xmlns:ns3="ebdf226f-9dbf-45cf-959b-1b5a968e8561" xmlns:ns4="dd045d4f-d273-49e8-9aae-1caf75af7db9" targetNamespace="http://schemas.microsoft.com/office/2006/metadata/properties" ma:root="true" ma:fieldsID="6e46659281f1b2ca49a50a932ebddf19" ns1:_="" ns3:_="" ns4:_="">
    <xsd:import namespace="http://schemas.microsoft.com/sharepoint/v3"/>
    <xsd:import namespace="ebdf226f-9dbf-45cf-959b-1b5a968e8561"/>
    <xsd:import namespace="dd045d4f-d273-49e8-9aae-1caf75af7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f226f-9dbf-45cf-959b-1b5a968e8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5d4f-d273-49e8-9aae-1caf75af7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bdf226f-9dbf-45cf-959b-1b5a968e856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0652C8-5521-40D9-BAC1-E31C477C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5CE4-3E76-4792-B75F-3923D9F18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df226f-9dbf-45cf-959b-1b5a968e8561"/>
    <ds:schemaRef ds:uri="dd045d4f-d273-49e8-9aae-1caf75af7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D5A1B-74C0-46BC-8BA4-5FDC08739B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df226f-9dbf-45cf-959b-1b5a968e8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Hernández Escobar</dc:creator>
  <cp:keywords/>
  <dc:description/>
  <cp:lastModifiedBy>Maria Herrera</cp:lastModifiedBy>
  <cp:revision>2</cp:revision>
  <cp:lastPrinted>2024-01-31T16:32:00Z</cp:lastPrinted>
  <dcterms:created xsi:type="dcterms:W3CDTF">2024-01-31T19:47:00Z</dcterms:created>
  <dcterms:modified xsi:type="dcterms:W3CDTF">2024-01-31T19:47:00Z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0x01010046D8E76B45E3D44F8169A87596F82331</vt:lpwstr>
  </property>
</Properties>
</file>