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570" w14:textId="53CDD8B4" w:rsidR="00C642D6" w:rsidRPr="00C642D6" w:rsidRDefault="00C642D6" w:rsidP="000067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C642D6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es-MX"/>
          <w14:ligatures w14:val="none"/>
        </w:rPr>
        <w:t>COMUNICADO DE PRENSA</w:t>
      </w:r>
    </w:p>
    <w:p w14:paraId="0B4D2ACE" w14:textId="2A6FE420" w:rsidR="00C642D6" w:rsidRDefault="00C642D6" w:rsidP="00C642D6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27423599" w14:textId="77777777" w:rsidR="00C642D6" w:rsidRDefault="00C642D6" w:rsidP="00DE6CE0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A raíz del Laudo Arbitral proferido hoy 7 de diciembre de 2023 por el Tribunal de Arbitramento para resolver las diferencias entre la sociedad Hidroituango S.A. E.S.P. y Empresas Públicas de Medellín E.S.P. surgidas por la contingencia del 28 de abril de 2018, el Gobernador de Antioquia se permite comunicar a la opinión pública lo siguiente:</w:t>
      </w:r>
    </w:p>
    <w:p w14:paraId="0325270B" w14:textId="77777777" w:rsidR="00C642D6" w:rsidRDefault="00C642D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57FFDE8E" w14:textId="4886082D" w:rsidR="003B07D4" w:rsidRDefault="00C642D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1. </w:t>
      </w:r>
      <w:r w:rsidR="003B07D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El proyecto Hidroituango es una obra de gran importancia, pensada por un grupo de antioqueños desde hace </w:t>
      </w:r>
      <w:r w:rsidR="00290AB6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60</w:t>
      </w:r>
      <w:r w:rsidR="003B07D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años con el fin de generar la energía que requiere el país</w:t>
      </w:r>
      <w:r w:rsidR="004F06E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, por eso siempre hemos creído e impulsado esta </w:t>
      </w:r>
      <w:proofErr w:type="spellStart"/>
      <w:r w:rsidR="004F06E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megaobra</w:t>
      </w:r>
      <w:proofErr w:type="spellEnd"/>
      <w:r w:rsidR="004F06E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2B538E52" w14:textId="77777777" w:rsidR="003B07D4" w:rsidRDefault="003B07D4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3EC26FBE" w14:textId="109E3EB8" w:rsidR="0066064C" w:rsidRDefault="003B07D4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2. </w:t>
      </w:r>
      <w:r w:rsidR="0066064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L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a sociedad Hidroituango S.A. E.S.P.</w:t>
      </w:r>
      <w:r w:rsidR="0066064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tiene una participación accionaria del </w:t>
      </w:r>
      <w:r w:rsidR="008D101F" w:rsidRPr="008D101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52</w:t>
      </w:r>
      <w:r w:rsidR="0066064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% de la Gobernación de Antioquia y el IDEA y un </w:t>
      </w:r>
      <w:r w:rsidR="00880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46</w:t>
      </w:r>
      <w:r w:rsidR="0066064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% de EPM, </w:t>
      </w:r>
      <w:r w:rsidR="002D33E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lo cual significa</w:t>
      </w:r>
      <w:r w:rsidR="008D101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que</w:t>
      </w:r>
      <w:r w:rsidR="002D33E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8D101F" w:rsidRPr="008D101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9</w:t>
      </w:r>
      <w:r w:rsidR="00F06A1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8</w:t>
      </w:r>
      <w:r w:rsidR="002D33E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% de las acciones </w:t>
      </w:r>
      <w:r w:rsidR="00A56C4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son de entidades públicas.</w:t>
      </w:r>
    </w:p>
    <w:p w14:paraId="223CAC01" w14:textId="0C9F66A0" w:rsidR="00A56C4F" w:rsidRDefault="00A56C4F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5A30CDCF" w14:textId="14F66F39" w:rsidR="00A56C4F" w:rsidRDefault="00A56C4F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3. Para ejecutar este proyecto, se celebró entre la sociedad Hidroituango S.A. E.S.P. y Empresas Públicas de Medellín E.S.P. el contrato BOOMT, en el cual EPM se obligó a financiar, construir, operar, mantener la central hidroeléctrica y, posteriormente, restituirla a la sociedad Hidroituango S.A. E.S.P., una vez cancelada la deuda financiera.</w:t>
      </w:r>
    </w:p>
    <w:p w14:paraId="4D15A018" w14:textId="51AB9002" w:rsidR="00465E36" w:rsidRDefault="00465E3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3DC08E05" w14:textId="1A92D684" w:rsidR="00465E36" w:rsidRDefault="00465E3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4. </w:t>
      </w:r>
      <w:r w:rsidR="00B87C2B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El 28 de abril de 2018 colapsó uno de los túneles del proyecto, generando una contingencia y el consecuente incumplimiento de los hitos 7, 8 y 9</w:t>
      </w:r>
      <w:r w:rsidR="006D51B7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que consistían poner en funcionamiento las primeras cuatro turbinas de generación.</w:t>
      </w:r>
    </w:p>
    <w:p w14:paraId="10B504DA" w14:textId="0B87D11A" w:rsidR="005F7EC3" w:rsidRDefault="005F7EC3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746D84DF" w14:textId="4C838161" w:rsidR="005F7EC3" w:rsidRDefault="005F7EC3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5. </w:t>
      </w:r>
      <w:r w:rsidR="001650E6" w:rsidRPr="00DE6CE0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A partir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650E6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d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el año 2020 desde la sociedad Hidroituango promovimos una serie de acercamientos con EPM con el fin de resolver las diferencias jurídicas, contractuales y económicas surgidas por la contingencia, sin embargo, a pesar de los múltiples esfuerzos no fue posible llegar a los acuerdos pretendidos.</w:t>
      </w:r>
    </w:p>
    <w:p w14:paraId="5435FEC2" w14:textId="367B3B3C" w:rsidR="00A8667A" w:rsidRDefault="00A8667A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33C34694" w14:textId="16EAC569" w:rsidR="00F43B48" w:rsidRDefault="005F7EC3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6</w:t>
      </w:r>
      <w:r w:rsidR="00A8667A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. </w:t>
      </w:r>
      <w:r w:rsidR="00F43B4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Ante 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la imposibilidad de llegar a un acuerdo</w:t>
      </w:r>
      <w:r w:rsidR="00F77A25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="00DD2D4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en defensa del patrimonio público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,</w:t>
      </w:r>
      <w:r w:rsidR="00F77A25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y en cumplimiento de la cláusula compromisoria del contrato BOOMT</w:t>
      </w:r>
      <w:r w:rsidR="00DD2D4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, la sociedad Hidroituango 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adelantó</w:t>
      </w:r>
      <w:r w:rsidR="00A310E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demanda arbitral contra EPM ante </w:t>
      </w:r>
      <w:r w:rsidR="0082467A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un Tribunal de Arbitramento de la</w:t>
      </w:r>
      <w:r w:rsidR="00A310E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Cámara de Comercio de Medellín</w:t>
      </w:r>
      <w:r w:rsidR="00B525C6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, pretendiendo</w:t>
      </w:r>
      <w:r w:rsidR="00E4541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que los sobrecostos por la contingencia solo sean asumidos por EPM y no con cargo al proyecto, </w:t>
      </w:r>
      <w:r w:rsidR="00B525C6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el pago de las cláusulas penales de apremio por los hitos incumplidos</w:t>
      </w:r>
      <w:r w:rsidR="0087406D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, entre otras peticiones</w:t>
      </w:r>
      <w:r w:rsidR="00E4541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5F47F17C" w14:textId="66081788" w:rsidR="00B525C6" w:rsidRDefault="00B525C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1600F7B1" w14:textId="450C2846" w:rsidR="004A64BF" w:rsidRDefault="004A64BF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7. </w:t>
      </w:r>
      <w:r w:rsidR="00152BA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Para resolver la controversia</w:t>
      </w:r>
      <w:r w:rsidR="00302D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, el Tribunal de Arbitramento mediante el Laudo Arbitral proferido el día de hoy 7 de diciembre, resolvió, entre otras cosas, lo siguiente:</w:t>
      </w:r>
    </w:p>
    <w:p w14:paraId="7E71EAF4" w14:textId="734F9790" w:rsidR="00302D31" w:rsidRDefault="00302D31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789593B6" w14:textId="3469077B" w:rsidR="00CF6352" w:rsidRPr="002D6CBA" w:rsidRDefault="00302D31" w:rsidP="00A36147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</w:pPr>
      <w:r w:rsidRPr="002D6CBA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  <w:t>“</w:t>
      </w:r>
      <w:r w:rsidR="00CF6352" w:rsidRPr="002D6CBA">
        <w:rPr>
          <w:rFonts w:ascii="Arial Narrow" w:hAnsi="Arial Narrow"/>
          <w:b/>
          <w:bCs/>
          <w:i/>
          <w:iCs/>
          <w:sz w:val="20"/>
          <w:szCs w:val="20"/>
        </w:rPr>
        <w:t>Cuadragésimo tercero:</w:t>
      </w:r>
      <w:r w:rsidR="00CF6352" w:rsidRPr="002D6CBA">
        <w:rPr>
          <w:rFonts w:ascii="Arial Narrow" w:hAnsi="Arial Narrow"/>
          <w:i/>
          <w:iCs/>
          <w:sz w:val="20"/>
          <w:szCs w:val="20"/>
        </w:rPr>
        <w:t xml:space="preserve"> Declarar que EMPRESAS PÚBLICAS DE MEDELLÍN E. S. P. - EPM está obligada a asumir los costos, mayores costos y gastos de toda naturaleza, incluidos los financieros por causa u ocasión del colapso de la obra de desviación denominada Sistema Auxiliar de Desviación - SAD- y su Galería Auxiliar de Desviación</w:t>
      </w:r>
      <w:r w:rsidR="00CA03F0" w:rsidRPr="002D6CBA">
        <w:rPr>
          <w:rFonts w:ascii="Arial Narrow" w:hAnsi="Arial Narrow"/>
          <w:i/>
          <w:iCs/>
          <w:sz w:val="20"/>
          <w:szCs w:val="20"/>
        </w:rPr>
        <w:t xml:space="preserve"> </w:t>
      </w:r>
      <w:r w:rsidR="00CF6352" w:rsidRPr="002D6CBA">
        <w:rPr>
          <w:rFonts w:ascii="Arial Narrow" w:hAnsi="Arial Narrow"/>
          <w:i/>
          <w:iCs/>
          <w:sz w:val="20"/>
          <w:szCs w:val="20"/>
        </w:rPr>
        <w:t>GAD-, hasta su completa superación y restitución, incluyendo, y sin limitarlos, el valor de los deducibles y de las sumas no reparadas por las compañías aseguradoras conforme a las pólizas en los que es beneficiaria y a la transacción que celebró con las mismas. En consecuencia, prospera de manera parcial la cuadragésima cuarta pretensión de la demanda reformada, por las razones expuestas en la parte motiva.</w:t>
      </w:r>
    </w:p>
    <w:p w14:paraId="053B150B" w14:textId="239C0BAE" w:rsidR="00CF6352" w:rsidRPr="002D6CBA" w:rsidRDefault="00CF6352" w:rsidP="002D6CBA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</w:pPr>
      <w:r w:rsidRPr="002D6CBA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  <w:t>(…)</w:t>
      </w:r>
    </w:p>
    <w:p w14:paraId="53B5BA06" w14:textId="07F32557" w:rsidR="00CF6352" w:rsidRPr="002D6CBA" w:rsidRDefault="00CF6352" w:rsidP="002D6CBA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0"/>
          <w:szCs w:val="20"/>
        </w:rPr>
      </w:pPr>
      <w:r w:rsidRPr="002D6CBA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0"/>
          <w:szCs w:val="20"/>
          <w:lang w:eastAsia="es-MX"/>
          <w14:ligatures w14:val="none"/>
        </w:rPr>
        <w:t>Quincuagésimo séptimo:</w:t>
      </w:r>
      <w:r w:rsidRPr="002D6CBA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  <w:t xml:space="preserve"> </w:t>
      </w:r>
      <w:r w:rsidR="00302D31" w:rsidRPr="002D6CBA">
        <w:rPr>
          <w:rFonts w:ascii="Arial Narrow" w:hAnsi="Arial Narrow"/>
          <w:i/>
          <w:iCs/>
          <w:sz w:val="20"/>
          <w:szCs w:val="20"/>
        </w:rPr>
        <w:t>Condenar a EMPRESAS PÚBLICAS DE MEDELLÍN E. S. P. - EPM a pagar a HIDROELÉCTRICA ITUANGO S. A. E. S. P. - HIDROITUANGO la suma de Setecientos Ochenta y Un Mil Ochocientos Veintiocho Millones Ochocientos Ochenta y Ocho Mil Trescientos Cincuenta Pesos ($ 781.828´888.350.oo) por concepto de las “Cláusulas Penales de Apremio por Incumplimiento de Hitos”, entre la fecha en que se hicieron exigibles y la fecha del laudo. En consecuencia, prospera de manera parcial la sexagésima primera pretensión de la demanda reformada, con el alcance precisado en la parte motiva.</w:t>
      </w:r>
    </w:p>
    <w:p w14:paraId="236E835C" w14:textId="15EC4191" w:rsidR="00CF6352" w:rsidRPr="002D6CBA" w:rsidRDefault="00CF6352" w:rsidP="002D6CBA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0"/>
          <w:szCs w:val="20"/>
        </w:rPr>
      </w:pPr>
      <w:r w:rsidRPr="002D6CBA">
        <w:rPr>
          <w:rFonts w:ascii="Arial Narrow" w:hAnsi="Arial Narrow"/>
          <w:i/>
          <w:iCs/>
          <w:sz w:val="20"/>
          <w:szCs w:val="20"/>
        </w:rPr>
        <w:t>(…)</w:t>
      </w:r>
    </w:p>
    <w:p w14:paraId="4F765224" w14:textId="6D0DF654" w:rsidR="00302D31" w:rsidRPr="002D6CBA" w:rsidRDefault="00CF6352" w:rsidP="00302D31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es-MX"/>
          <w14:ligatures w14:val="none"/>
        </w:rPr>
      </w:pPr>
      <w:r w:rsidRPr="002D6CBA">
        <w:rPr>
          <w:rFonts w:ascii="Arial Narrow" w:hAnsi="Arial Narrow"/>
          <w:b/>
          <w:bCs/>
          <w:i/>
          <w:iCs/>
          <w:sz w:val="20"/>
          <w:szCs w:val="20"/>
        </w:rPr>
        <w:t>Septuagésimo noveno:</w:t>
      </w:r>
      <w:r w:rsidRPr="002D6CBA">
        <w:rPr>
          <w:rFonts w:ascii="Arial Narrow" w:hAnsi="Arial Narrow"/>
          <w:i/>
          <w:iCs/>
          <w:sz w:val="20"/>
          <w:szCs w:val="20"/>
        </w:rPr>
        <w:t xml:space="preserve"> Condenar a EMPRESAS PÚBLICAS DE MEDELLÍN E. S. P. - EPM a pagar a HIDROELÉCTRICA ITUANGO S. A. E. S. P. - HIDROITUANGO la suma de Dos Mil Quinientos Cuarenta y Siete Millones Quinientos Veintiún Mil Quinientos Noventa y Nueve ($ 2.547´521.599.oo) por concepto de costas del proceso, de acuerdo con la liquidación que obra en las consideraciones de este laudo. En consecuencia, prospera la septuagésima pretensión de la demanda reformada.</w:t>
      </w:r>
      <w:r w:rsidR="00302D31" w:rsidRPr="002D6CBA">
        <w:rPr>
          <w:rFonts w:ascii="Arial Narrow" w:hAnsi="Arial Narrow"/>
          <w:i/>
          <w:iCs/>
          <w:sz w:val="20"/>
          <w:szCs w:val="20"/>
        </w:rPr>
        <w:t>”</w:t>
      </w:r>
    </w:p>
    <w:p w14:paraId="31F617D8" w14:textId="77777777" w:rsidR="00F43B48" w:rsidRDefault="00F43B48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17B02296" w14:textId="687D5375" w:rsidR="00424EC9" w:rsidRDefault="00302D31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8. </w:t>
      </w:r>
      <w:r w:rsidR="00424EC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El equipo de abogados y personal de la sociedad Hidroituango están estudiando voluminoso laudo que tiene más de 300 páginas y 83 decisiones.</w:t>
      </w:r>
    </w:p>
    <w:p w14:paraId="32F1A567" w14:textId="77777777" w:rsidR="00424EC9" w:rsidRDefault="00424EC9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28A75B5A" w14:textId="4A4BF73D" w:rsidR="007771E8" w:rsidRDefault="00424EC9" w:rsidP="00424E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9. </w:t>
      </w:r>
      <w:r w:rsidR="007771E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Adicionalmente, EPM no ha cumplido otros hitos del contrato BOOMT como la puesta en funcionamiento de las turbinas 5, 6, 7 y 8 y que no fue objeto de la demanda arbitral.</w:t>
      </w:r>
    </w:p>
    <w:p w14:paraId="7B7916A1" w14:textId="6F661745" w:rsidR="00290AB6" w:rsidRDefault="00290AB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131E7A67" w14:textId="77777777" w:rsidR="004C5A34" w:rsidRDefault="00D603EC" w:rsidP="004C5A3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10</w:t>
      </w:r>
      <w:r w:rsidR="00290AB6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. </w:t>
      </w:r>
      <w:r w:rsidR="00167AE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Pero, además, </w:t>
      </w:r>
      <w:r w:rsidR="004C5A3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por todo el conocimiento que hemos adquirido del contrato BOOMT a raíz de las controversias surgidas, es claro que este tiene un conjunto de cláusulas que deben ser revisadas para tener un contrato justo entre las partes, y de esa manera evitar inconvenientes futuros.</w:t>
      </w:r>
    </w:p>
    <w:p w14:paraId="048AC9EE" w14:textId="36321341" w:rsidR="00C343C6" w:rsidRDefault="00C343C6" w:rsidP="00C642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620F377B" w14:textId="3C67B9CF" w:rsidR="009621F3" w:rsidRDefault="00C343C6" w:rsidP="0000670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4C5A3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1</w:t>
      </w:r>
      <w:r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. </w:t>
      </w:r>
      <w:r w:rsidR="00B30BB7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>Por todo lo anterior, es</w:t>
      </w:r>
      <w:r w:rsidR="00837963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  <w:t xml:space="preserve"> necesario que entre la sociedad Hidroituango y EPM se construya un acuerdo para poner fin a las diferencias jurídicas, contractuales y económicas y que este proyecto sea un símbolo más de unidad, progreso y desarrollo para Medellín, Antioquia y Colombia.</w:t>
      </w:r>
    </w:p>
    <w:p w14:paraId="059148D0" w14:textId="189AFEBB" w:rsidR="00006707" w:rsidRDefault="00006707" w:rsidP="0000670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0D2B1CC9" w14:textId="49FBFE1F" w:rsidR="002D6CBA" w:rsidRDefault="002D6CBA" w:rsidP="0000670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6350C074" w14:textId="77777777" w:rsidR="002D6CBA" w:rsidRPr="00006707" w:rsidRDefault="002D6CBA" w:rsidP="0000670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MX"/>
          <w14:ligatures w14:val="none"/>
        </w:rPr>
      </w:pPr>
    </w:p>
    <w:p w14:paraId="7CD057AD" w14:textId="7A43AE13" w:rsidR="009621F3" w:rsidRDefault="009621F3" w:rsidP="00837963">
      <w:pPr>
        <w:spacing w:after="0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EC635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  <w:t>AN</w:t>
      </w:r>
      <w:r w:rsidR="00250A1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  <w:t>Í</w:t>
      </w:r>
      <w:r w:rsidRPr="00EC635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  <w:t>BAL GAVIRIA CORREA</w:t>
      </w:r>
    </w:p>
    <w:p w14:paraId="16DF97A2" w14:textId="762AC3BF" w:rsidR="008350CF" w:rsidRPr="00790EA3" w:rsidRDefault="009621F3" w:rsidP="00837963">
      <w:pPr>
        <w:spacing w:after="0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es-MX"/>
          <w14:ligatures w14:val="none"/>
        </w:rPr>
      </w:pPr>
      <w:r w:rsidRPr="00EC6358">
        <w:rPr>
          <w:rFonts w:ascii="Arial Narrow" w:eastAsia="Times New Roman" w:hAnsi="Arial Narrow" w:cs="Times New Roman"/>
          <w:kern w:val="0"/>
          <w:sz w:val="24"/>
          <w:szCs w:val="24"/>
          <w:lang w:eastAsia="es-MX"/>
          <w14:ligatures w14:val="none"/>
        </w:rPr>
        <w:t>Gobernador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es-MX"/>
          <w14:ligatures w14:val="none"/>
        </w:rPr>
        <w:t xml:space="preserve"> de Antioquia</w:t>
      </w:r>
    </w:p>
    <w:sectPr w:rsidR="008350CF" w:rsidRPr="00790EA3" w:rsidSect="00872421">
      <w:headerReference w:type="default" r:id="rId8"/>
      <w:footerReference w:type="default" r:id="rId9"/>
      <w:pgSz w:w="12240" w:h="15840" w:code="1"/>
      <w:pgMar w:top="1417" w:right="1701" w:bottom="1417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7E10" w14:textId="77777777" w:rsidR="003E2356" w:rsidRDefault="003E2356">
      <w:pPr>
        <w:spacing w:after="0" w:line="240" w:lineRule="auto"/>
      </w:pPr>
      <w:r>
        <w:separator/>
      </w:r>
    </w:p>
  </w:endnote>
  <w:endnote w:type="continuationSeparator" w:id="0">
    <w:p w14:paraId="35BC860D" w14:textId="77777777" w:rsidR="003E2356" w:rsidRDefault="003E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D648" w14:textId="76D828E9" w:rsidR="00A411D6" w:rsidRDefault="00A411D6">
    <w:pPr>
      <w:pStyle w:val="Piedepgina"/>
    </w:pPr>
  </w:p>
  <w:p w14:paraId="6CD95D06" w14:textId="57495914" w:rsidR="00A411D6" w:rsidRDefault="00872421">
    <w:pPr>
      <w:pStyle w:val="Piedepgina"/>
    </w:pPr>
    <w:r>
      <w:rPr>
        <w:noProof/>
        <w:lang w:eastAsia="es-CO"/>
      </w:rPr>
      <w:drawing>
        <wp:inline distT="0" distB="0" distL="0" distR="0" wp14:anchorId="33EB2AA9" wp14:editId="5FD0596E">
          <wp:extent cx="5048250" cy="1228725"/>
          <wp:effectExtent l="0" t="0" r="0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32F8" w14:textId="77777777" w:rsidR="003E2356" w:rsidRDefault="003E2356">
      <w:pPr>
        <w:spacing w:after="0" w:line="240" w:lineRule="auto"/>
      </w:pPr>
      <w:r>
        <w:separator/>
      </w:r>
    </w:p>
  </w:footnote>
  <w:footnote w:type="continuationSeparator" w:id="0">
    <w:p w14:paraId="613739BE" w14:textId="77777777" w:rsidR="003E2356" w:rsidRDefault="003E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84C" w14:textId="5DA6752B" w:rsidR="00D41532" w:rsidRPr="00872421" w:rsidRDefault="00A411D6" w:rsidP="00872421">
    <w:pPr>
      <w:pStyle w:val="Encabezado"/>
      <w:tabs>
        <w:tab w:val="clear" w:pos="4419"/>
        <w:tab w:val="clear" w:pos="8838"/>
        <w:tab w:val="left" w:pos="2320"/>
      </w:tabs>
      <w:jc w:val="center"/>
      <w:rPr>
        <w:b/>
      </w:rPr>
    </w:pPr>
    <w:r>
      <w:rPr>
        <w:b/>
        <w:noProof/>
        <w:lang w:eastAsia="es-CO"/>
      </w:rPr>
      <w:drawing>
        <wp:inline distT="0" distB="0" distL="0" distR="0" wp14:anchorId="603A4F6E" wp14:editId="7D6A96EB">
          <wp:extent cx="3096895" cy="1000760"/>
          <wp:effectExtent l="0" t="0" r="8255" b="889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A2C"/>
    <w:multiLevelType w:val="hybridMultilevel"/>
    <w:tmpl w:val="139E0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40AB7"/>
    <w:multiLevelType w:val="hybridMultilevel"/>
    <w:tmpl w:val="36689FB6"/>
    <w:lvl w:ilvl="0" w:tplc="52D64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76739">
    <w:abstractNumId w:val="0"/>
  </w:num>
  <w:num w:numId="2" w16cid:durableId="208151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A3"/>
    <w:rsid w:val="0000107B"/>
    <w:rsid w:val="00001B4D"/>
    <w:rsid w:val="00002AA2"/>
    <w:rsid w:val="00002B07"/>
    <w:rsid w:val="00004D95"/>
    <w:rsid w:val="00005B99"/>
    <w:rsid w:val="00006707"/>
    <w:rsid w:val="000071E6"/>
    <w:rsid w:val="00007734"/>
    <w:rsid w:val="000079FD"/>
    <w:rsid w:val="00010499"/>
    <w:rsid w:val="000139B4"/>
    <w:rsid w:val="00015E56"/>
    <w:rsid w:val="00021813"/>
    <w:rsid w:val="000272C1"/>
    <w:rsid w:val="00027800"/>
    <w:rsid w:val="00033AF7"/>
    <w:rsid w:val="00034172"/>
    <w:rsid w:val="00034CFD"/>
    <w:rsid w:val="00034D00"/>
    <w:rsid w:val="00036363"/>
    <w:rsid w:val="00042AB8"/>
    <w:rsid w:val="00043553"/>
    <w:rsid w:val="00044622"/>
    <w:rsid w:val="0004660C"/>
    <w:rsid w:val="00046F1F"/>
    <w:rsid w:val="00050BAD"/>
    <w:rsid w:val="00051730"/>
    <w:rsid w:val="00051876"/>
    <w:rsid w:val="00053F04"/>
    <w:rsid w:val="00054CC3"/>
    <w:rsid w:val="00057595"/>
    <w:rsid w:val="000602A3"/>
    <w:rsid w:val="00063FEB"/>
    <w:rsid w:val="000651C4"/>
    <w:rsid w:val="000668BF"/>
    <w:rsid w:val="00070455"/>
    <w:rsid w:val="0007246A"/>
    <w:rsid w:val="000744BE"/>
    <w:rsid w:val="00074F1B"/>
    <w:rsid w:val="00076AE2"/>
    <w:rsid w:val="00080EEE"/>
    <w:rsid w:val="000812F3"/>
    <w:rsid w:val="00081C81"/>
    <w:rsid w:val="00087FC8"/>
    <w:rsid w:val="00091913"/>
    <w:rsid w:val="00091B23"/>
    <w:rsid w:val="0009451D"/>
    <w:rsid w:val="000A1A57"/>
    <w:rsid w:val="000A3F9E"/>
    <w:rsid w:val="000A7FCB"/>
    <w:rsid w:val="000B0AD9"/>
    <w:rsid w:val="000B3074"/>
    <w:rsid w:val="000B3FFC"/>
    <w:rsid w:val="000B4668"/>
    <w:rsid w:val="000B6DB8"/>
    <w:rsid w:val="000B7968"/>
    <w:rsid w:val="000C1AD4"/>
    <w:rsid w:val="000C3B03"/>
    <w:rsid w:val="000C4503"/>
    <w:rsid w:val="000C654D"/>
    <w:rsid w:val="000D38F8"/>
    <w:rsid w:val="000D7FE7"/>
    <w:rsid w:val="000E1126"/>
    <w:rsid w:val="000E1517"/>
    <w:rsid w:val="000E18CE"/>
    <w:rsid w:val="000E253B"/>
    <w:rsid w:val="000E2A63"/>
    <w:rsid w:val="000E2D6F"/>
    <w:rsid w:val="000E31AD"/>
    <w:rsid w:val="000E6821"/>
    <w:rsid w:val="000E70D4"/>
    <w:rsid w:val="000F12BA"/>
    <w:rsid w:val="000F2D5C"/>
    <w:rsid w:val="000F3838"/>
    <w:rsid w:val="000F47F6"/>
    <w:rsid w:val="00101A40"/>
    <w:rsid w:val="001056FC"/>
    <w:rsid w:val="001073EA"/>
    <w:rsid w:val="00107565"/>
    <w:rsid w:val="0011290A"/>
    <w:rsid w:val="001141A4"/>
    <w:rsid w:val="001141B5"/>
    <w:rsid w:val="00116017"/>
    <w:rsid w:val="00117E76"/>
    <w:rsid w:val="001236A5"/>
    <w:rsid w:val="001318A1"/>
    <w:rsid w:val="00132984"/>
    <w:rsid w:val="00135952"/>
    <w:rsid w:val="0013679D"/>
    <w:rsid w:val="001408E4"/>
    <w:rsid w:val="00140F5B"/>
    <w:rsid w:val="001428B8"/>
    <w:rsid w:val="00142AA1"/>
    <w:rsid w:val="001431C7"/>
    <w:rsid w:val="00145E23"/>
    <w:rsid w:val="0015198E"/>
    <w:rsid w:val="00151F05"/>
    <w:rsid w:val="00152BA4"/>
    <w:rsid w:val="00152C70"/>
    <w:rsid w:val="0015573B"/>
    <w:rsid w:val="00156577"/>
    <w:rsid w:val="00164C3C"/>
    <w:rsid w:val="001650E6"/>
    <w:rsid w:val="00166439"/>
    <w:rsid w:val="00167665"/>
    <w:rsid w:val="00167AEF"/>
    <w:rsid w:val="00170B3E"/>
    <w:rsid w:val="00171F02"/>
    <w:rsid w:val="00175CD8"/>
    <w:rsid w:val="001778EE"/>
    <w:rsid w:val="001860ED"/>
    <w:rsid w:val="0018666E"/>
    <w:rsid w:val="00186A96"/>
    <w:rsid w:val="001A5CB4"/>
    <w:rsid w:val="001B03F8"/>
    <w:rsid w:val="001B1E3D"/>
    <w:rsid w:val="001B3A92"/>
    <w:rsid w:val="001B4554"/>
    <w:rsid w:val="001B638E"/>
    <w:rsid w:val="001B777D"/>
    <w:rsid w:val="001C1A96"/>
    <w:rsid w:val="001C2BBD"/>
    <w:rsid w:val="001C458F"/>
    <w:rsid w:val="001D1CD5"/>
    <w:rsid w:val="001D2D6B"/>
    <w:rsid w:val="001D3EC9"/>
    <w:rsid w:val="001D60AD"/>
    <w:rsid w:val="001D6AB8"/>
    <w:rsid w:val="001E032E"/>
    <w:rsid w:val="001E33FA"/>
    <w:rsid w:val="001E3B86"/>
    <w:rsid w:val="001E4FA6"/>
    <w:rsid w:val="001E65BE"/>
    <w:rsid w:val="001F2918"/>
    <w:rsid w:val="001F45DF"/>
    <w:rsid w:val="001F603A"/>
    <w:rsid w:val="001F726B"/>
    <w:rsid w:val="00200860"/>
    <w:rsid w:val="0020182D"/>
    <w:rsid w:val="00201F89"/>
    <w:rsid w:val="002021D7"/>
    <w:rsid w:val="00203BA2"/>
    <w:rsid w:val="00207A65"/>
    <w:rsid w:val="00207F2A"/>
    <w:rsid w:val="00213FC7"/>
    <w:rsid w:val="00214DE9"/>
    <w:rsid w:val="00221DFD"/>
    <w:rsid w:val="0022617A"/>
    <w:rsid w:val="002265F9"/>
    <w:rsid w:val="00230055"/>
    <w:rsid w:val="00233CD6"/>
    <w:rsid w:val="002358AE"/>
    <w:rsid w:val="002362E0"/>
    <w:rsid w:val="0023689C"/>
    <w:rsid w:val="002377E2"/>
    <w:rsid w:val="00241F5D"/>
    <w:rsid w:val="002433C7"/>
    <w:rsid w:val="00243A99"/>
    <w:rsid w:val="00250A14"/>
    <w:rsid w:val="0025143C"/>
    <w:rsid w:val="0025159D"/>
    <w:rsid w:val="002574DC"/>
    <w:rsid w:val="002579BB"/>
    <w:rsid w:val="0026034A"/>
    <w:rsid w:val="00260492"/>
    <w:rsid w:val="002642F2"/>
    <w:rsid w:val="00264D5C"/>
    <w:rsid w:val="00272130"/>
    <w:rsid w:val="00274417"/>
    <w:rsid w:val="002755F0"/>
    <w:rsid w:val="002801CC"/>
    <w:rsid w:val="00281C3D"/>
    <w:rsid w:val="00281DF0"/>
    <w:rsid w:val="00284D2A"/>
    <w:rsid w:val="00287187"/>
    <w:rsid w:val="0029042B"/>
    <w:rsid w:val="00290AB6"/>
    <w:rsid w:val="002961AB"/>
    <w:rsid w:val="002A2D48"/>
    <w:rsid w:val="002A39B7"/>
    <w:rsid w:val="002A472D"/>
    <w:rsid w:val="002A77AD"/>
    <w:rsid w:val="002A7C56"/>
    <w:rsid w:val="002B0431"/>
    <w:rsid w:val="002B0612"/>
    <w:rsid w:val="002B15C3"/>
    <w:rsid w:val="002B173F"/>
    <w:rsid w:val="002B2665"/>
    <w:rsid w:val="002B7F84"/>
    <w:rsid w:val="002C1A0B"/>
    <w:rsid w:val="002C1F4E"/>
    <w:rsid w:val="002C272A"/>
    <w:rsid w:val="002C4FBD"/>
    <w:rsid w:val="002C5993"/>
    <w:rsid w:val="002C6A1B"/>
    <w:rsid w:val="002C7297"/>
    <w:rsid w:val="002D33E8"/>
    <w:rsid w:val="002D4603"/>
    <w:rsid w:val="002D539A"/>
    <w:rsid w:val="002D6CBA"/>
    <w:rsid w:val="002D74CC"/>
    <w:rsid w:val="002E0353"/>
    <w:rsid w:val="002E281D"/>
    <w:rsid w:val="002E33EA"/>
    <w:rsid w:val="002E4490"/>
    <w:rsid w:val="002F02D1"/>
    <w:rsid w:val="002F118A"/>
    <w:rsid w:val="002F1281"/>
    <w:rsid w:val="002F202D"/>
    <w:rsid w:val="002F3360"/>
    <w:rsid w:val="002F3493"/>
    <w:rsid w:val="002F54A0"/>
    <w:rsid w:val="002F7540"/>
    <w:rsid w:val="00302D31"/>
    <w:rsid w:val="003055C5"/>
    <w:rsid w:val="003059BB"/>
    <w:rsid w:val="0030730A"/>
    <w:rsid w:val="00307743"/>
    <w:rsid w:val="00310473"/>
    <w:rsid w:val="00310D85"/>
    <w:rsid w:val="00312143"/>
    <w:rsid w:val="0031261C"/>
    <w:rsid w:val="00316B38"/>
    <w:rsid w:val="0031785F"/>
    <w:rsid w:val="00317E30"/>
    <w:rsid w:val="00321F40"/>
    <w:rsid w:val="003222D6"/>
    <w:rsid w:val="00322845"/>
    <w:rsid w:val="003257C1"/>
    <w:rsid w:val="0032788F"/>
    <w:rsid w:val="0033081A"/>
    <w:rsid w:val="0033151D"/>
    <w:rsid w:val="00334422"/>
    <w:rsid w:val="00336F80"/>
    <w:rsid w:val="00337A5E"/>
    <w:rsid w:val="00337D2C"/>
    <w:rsid w:val="0034184C"/>
    <w:rsid w:val="00343B5E"/>
    <w:rsid w:val="00346538"/>
    <w:rsid w:val="00346872"/>
    <w:rsid w:val="00347373"/>
    <w:rsid w:val="00350EAC"/>
    <w:rsid w:val="00351547"/>
    <w:rsid w:val="003642AF"/>
    <w:rsid w:val="00364652"/>
    <w:rsid w:val="0036578F"/>
    <w:rsid w:val="00365E85"/>
    <w:rsid w:val="003661FC"/>
    <w:rsid w:val="003665B2"/>
    <w:rsid w:val="003734AD"/>
    <w:rsid w:val="0037503B"/>
    <w:rsid w:val="0037705E"/>
    <w:rsid w:val="0038003A"/>
    <w:rsid w:val="003872C9"/>
    <w:rsid w:val="003937C1"/>
    <w:rsid w:val="00393BCB"/>
    <w:rsid w:val="00394BF9"/>
    <w:rsid w:val="0039665B"/>
    <w:rsid w:val="003977CB"/>
    <w:rsid w:val="003A30F4"/>
    <w:rsid w:val="003A3664"/>
    <w:rsid w:val="003A7446"/>
    <w:rsid w:val="003B053D"/>
    <w:rsid w:val="003B07D4"/>
    <w:rsid w:val="003B232B"/>
    <w:rsid w:val="003B3D7A"/>
    <w:rsid w:val="003B6F25"/>
    <w:rsid w:val="003B7F29"/>
    <w:rsid w:val="003C10AB"/>
    <w:rsid w:val="003C1C96"/>
    <w:rsid w:val="003C38D8"/>
    <w:rsid w:val="003D1EAE"/>
    <w:rsid w:val="003D2707"/>
    <w:rsid w:val="003D3EF2"/>
    <w:rsid w:val="003D5FB4"/>
    <w:rsid w:val="003D6AB6"/>
    <w:rsid w:val="003E09E3"/>
    <w:rsid w:val="003E2356"/>
    <w:rsid w:val="003E459D"/>
    <w:rsid w:val="003E4E0B"/>
    <w:rsid w:val="003E6C13"/>
    <w:rsid w:val="003E7C23"/>
    <w:rsid w:val="003F102F"/>
    <w:rsid w:val="003F2929"/>
    <w:rsid w:val="003F38B6"/>
    <w:rsid w:val="003F6B0F"/>
    <w:rsid w:val="004011E2"/>
    <w:rsid w:val="00404E7C"/>
    <w:rsid w:val="00406567"/>
    <w:rsid w:val="004128EC"/>
    <w:rsid w:val="00412E12"/>
    <w:rsid w:val="00413052"/>
    <w:rsid w:val="0041312A"/>
    <w:rsid w:val="004148CC"/>
    <w:rsid w:val="00414EA8"/>
    <w:rsid w:val="004151EA"/>
    <w:rsid w:val="0041546F"/>
    <w:rsid w:val="00422506"/>
    <w:rsid w:val="00422652"/>
    <w:rsid w:val="004227DF"/>
    <w:rsid w:val="00424EC9"/>
    <w:rsid w:val="004269CB"/>
    <w:rsid w:val="004314B7"/>
    <w:rsid w:val="0043177B"/>
    <w:rsid w:val="00432059"/>
    <w:rsid w:val="004326A5"/>
    <w:rsid w:val="004402C3"/>
    <w:rsid w:val="004419FE"/>
    <w:rsid w:val="004434F3"/>
    <w:rsid w:val="004459CF"/>
    <w:rsid w:val="00447FE0"/>
    <w:rsid w:val="004526F0"/>
    <w:rsid w:val="00455CC4"/>
    <w:rsid w:val="00460C24"/>
    <w:rsid w:val="004655F6"/>
    <w:rsid w:val="00465E36"/>
    <w:rsid w:val="00471C9D"/>
    <w:rsid w:val="00472308"/>
    <w:rsid w:val="004748BA"/>
    <w:rsid w:val="0047738F"/>
    <w:rsid w:val="00481317"/>
    <w:rsid w:val="004837BB"/>
    <w:rsid w:val="00483947"/>
    <w:rsid w:val="00487367"/>
    <w:rsid w:val="00492E0A"/>
    <w:rsid w:val="00493D27"/>
    <w:rsid w:val="004941B4"/>
    <w:rsid w:val="004949C0"/>
    <w:rsid w:val="004A2AAD"/>
    <w:rsid w:val="004A2B63"/>
    <w:rsid w:val="004A3164"/>
    <w:rsid w:val="004A3675"/>
    <w:rsid w:val="004A64BF"/>
    <w:rsid w:val="004A7333"/>
    <w:rsid w:val="004A73D3"/>
    <w:rsid w:val="004B0E35"/>
    <w:rsid w:val="004B1D7B"/>
    <w:rsid w:val="004B228F"/>
    <w:rsid w:val="004B3C51"/>
    <w:rsid w:val="004B5BE1"/>
    <w:rsid w:val="004B79CC"/>
    <w:rsid w:val="004C1A21"/>
    <w:rsid w:val="004C3BDC"/>
    <w:rsid w:val="004C46AB"/>
    <w:rsid w:val="004C46CA"/>
    <w:rsid w:val="004C4C53"/>
    <w:rsid w:val="004C5A34"/>
    <w:rsid w:val="004C5CF1"/>
    <w:rsid w:val="004C6EBA"/>
    <w:rsid w:val="004C74C9"/>
    <w:rsid w:val="004D05FF"/>
    <w:rsid w:val="004D08BB"/>
    <w:rsid w:val="004D10A1"/>
    <w:rsid w:val="004D2660"/>
    <w:rsid w:val="004D2DA4"/>
    <w:rsid w:val="004D305A"/>
    <w:rsid w:val="004D42BE"/>
    <w:rsid w:val="004D42E2"/>
    <w:rsid w:val="004E0530"/>
    <w:rsid w:val="004E321E"/>
    <w:rsid w:val="004E5EF0"/>
    <w:rsid w:val="004F06EC"/>
    <w:rsid w:val="004F3140"/>
    <w:rsid w:val="004F44CC"/>
    <w:rsid w:val="004F709A"/>
    <w:rsid w:val="004F7922"/>
    <w:rsid w:val="00500AD4"/>
    <w:rsid w:val="00501EE3"/>
    <w:rsid w:val="0050433A"/>
    <w:rsid w:val="005063AE"/>
    <w:rsid w:val="005110CF"/>
    <w:rsid w:val="00514096"/>
    <w:rsid w:val="0051495B"/>
    <w:rsid w:val="00514D4E"/>
    <w:rsid w:val="005168A0"/>
    <w:rsid w:val="00516EF6"/>
    <w:rsid w:val="00520AB6"/>
    <w:rsid w:val="00522CF0"/>
    <w:rsid w:val="00523105"/>
    <w:rsid w:val="00525B5F"/>
    <w:rsid w:val="00527ACE"/>
    <w:rsid w:val="0053003B"/>
    <w:rsid w:val="00536075"/>
    <w:rsid w:val="00543EA3"/>
    <w:rsid w:val="00544A11"/>
    <w:rsid w:val="00565BEE"/>
    <w:rsid w:val="0056695E"/>
    <w:rsid w:val="00566E32"/>
    <w:rsid w:val="0057174C"/>
    <w:rsid w:val="00573630"/>
    <w:rsid w:val="00573D95"/>
    <w:rsid w:val="0057443B"/>
    <w:rsid w:val="00574BB1"/>
    <w:rsid w:val="005773E4"/>
    <w:rsid w:val="00577FE1"/>
    <w:rsid w:val="00581F26"/>
    <w:rsid w:val="005829A3"/>
    <w:rsid w:val="00583F13"/>
    <w:rsid w:val="00584F89"/>
    <w:rsid w:val="00593946"/>
    <w:rsid w:val="005956F5"/>
    <w:rsid w:val="00595E95"/>
    <w:rsid w:val="0059717E"/>
    <w:rsid w:val="005A19E5"/>
    <w:rsid w:val="005A57C0"/>
    <w:rsid w:val="005B1DD7"/>
    <w:rsid w:val="005B527E"/>
    <w:rsid w:val="005B6109"/>
    <w:rsid w:val="005B62CA"/>
    <w:rsid w:val="005B6A86"/>
    <w:rsid w:val="005B724D"/>
    <w:rsid w:val="005B7361"/>
    <w:rsid w:val="005C18F2"/>
    <w:rsid w:val="005D4E2B"/>
    <w:rsid w:val="005D6180"/>
    <w:rsid w:val="005D7E99"/>
    <w:rsid w:val="005E2844"/>
    <w:rsid w:val="005E2B0E"/>
    <w:rsid w:val="005E5C16"/>
    <w:rsid w:val="005E5FE7"/>
    <w:rsid w:val="005E78A2"/>
    <w:rsid w:val="005E7DFE"/>
    <w:rsid w:val="005F1B89"/>
    <w:rsid w:val="005F6C55"/>
    <w:rsid w:val="005F7EC3"/>
    <w:rsid w:val="006014B5"/>
    <w:rsid w:val="00601C6A"/>
    <w:rsid w:val="006044AA"/>
    <w:rsid w:val="00604D8B"/>
    <w:rsid w:val="006068CB"/>
    <w:rsid w:val="006119AE"/>
    <w:rsid w:val="00616AA9"/>
    <w:rsid w:val="00623482"/>
    <w:rsid w:val="0062412C"/>
    <w:rsid w:val="00630003"/>
    <w:rsid w:val="00632A73"/>
    <w:rsid w:val="00633923"/>
    <w:rsid w:val="00633C6B"/>
    <w:rsid w:val="0063645E"/>
    <w:rsid w:val="00637F07"/>
    <w:rsid w:val="0064113B"/>
    <w:rsid w:val="00646D5C"/>
    <w:rsid w:val="00647E21"/>
    <w:rsid w:val="00647FC0"/>
    <w:rsid w:val="0065394F"/>
    <w:rsid w:val="00654283"/>
    <w:rsid w:val="00655643"/>
    <w:rsid w:val="0065627A"/>
    <w:rsid w:val="0066064C"/>
    <w:rsid w:val="00662F74"/>
    <w:rsid w:val="00663591"/>
    <w:rsid w:val="00663659"/>
    <w:rsid w:val="0066468E"/>
    <w:rsid w:val="00664A23"/>
    <w:rsid w:val="0066507A"/>
    <w:rsid w:val="006708BE"/>
    <w:rsid w:val="00671BA6"/>
    <w:rsid w:val="00671D37"/>
    <w:rsid w:val="0067765A"/>
    <w:rsid w:val="006847DB"/>
    <w:rsid w:val="0068681F"/>
    <w:rsid w:val="006870F4"/>
    <w:rsid w:val="00692D47"/>
    <w:rsid w:val="006A368F"/>
    <w:rsid w:val="006B0386"/>
    <w:rsid w:val="006B183C"/>
    <w:rsid w:val="006B24D0"/>
    <w:rsid w:val="006B5DD4"/>
    <w:rsid w:val="006C2DEA"/>
    <w:rsid w:val="006C43A7"/>
    <w:rsid w:val="006D09BF"/>
    <w:rsid w:val="006D0DC3"/>
    <w:rsid w:val="006D1057"/>
    <w:rsid w:val="006D322E"/>
    <w:rsid w:val="006D51B7"/>
    <w:rsid w:val="006D52B8"/>
    <w:rsid w:val="006D59AC"/>
    <w:rsid w:val="006D74B8"/>
    <w:rsid w:val="006E163A"/>
    <w:rsid w:val="006E1FCD"/>
    <w:rsid w:val="006E29D0"/>
    <w:rsid w:val="006E559E"/>
    <w:rsid w:val="006E5DD1"/>
    <w:rsid w:val="006F0B44"/>
    <w:rsid w:val="006F13DB"/>
    <w:rsid w:val="006F1E94"/>
    <w:rsid w:val="006F3990"/>
    <w:rsid w:val="006F3E89"/>
    <w:rsid w:val="006F47A4"/>
    <w:rsid w:val="006F5291"/>
    <w:rsid w:val="007054CD"/>
    <w:rsid w:val="0070555B"/>
    <w:rsid w:val="00707018"/>
    <w:rsid w:val="00707F1B"/>
    <w:rsid w:val="007105E4"/>
    <w:rsid w:val="00711C4A"/>
    <w:rsid w:val="00711DA5"/>
    <w:rsid w:val="007138A8"/>
    <w:rsid w:val="0071502A"/>
    <w:rsid w:val="00723AF5"/>
    <w:rsid w:val="00723BC6"/>
    <w:rsid w:val="00724508"/>
    <w:rsid w:val="0073132F"/>
    <w:rsid w:val="00742150"/>
    <w:rsid w:val="007447E6"/>
    <w:rsid w:val="0074556A"/>
    <w:rsid w:val="00747327"/>
    <w:rsid w:val="007476AC"/>
    <w:rsid w:val="007536FA"/>
    <w:rsid w:val="0075373D"/>
    <w:rsid w:val="007539F8"/>
    <w:rsid w:val="007571FC"/>
    <w:rsid w:val="0076052E"/>
    <w:rsid w:val="00762438"/>
    <w:rsid w:val="0076315A"/>
    <w:rsid w:val="00763307"/>
    <w:rsid w:val="00763A3C"/>
    <w:rsid w:val="007642F1"/>
    <w:rsid w:val="0076576F"/>
    <w:rsid w:val="0077114E"/>
    <w:rsid w:val="007719C5"/>
    <w:rsid w:val="00771C6D"/>
    <w:rsid w:val="00773FC0"/>
    <w:rsid w:val="0077451C"/>
    <w:rsid w:val="00774B01"/>
    <w:rsid w:val="0077583C"/>
    <w:rsid w:val="00777009"/>
    <w:rsid w:val="007771E8"/>
    <w:rsid w:val="00777602"/>
    <w:rsid w:val="0078173F"/>
    <w:rsid w:val="00781CCB"/>
    <w:rsid w:val="007831C3"/>
    <w:rsid w:val="00783926"/>
    <w:rsid w:val="00784D5C"/>
    <w:rsid w:val="00785528"/>
    <w:rsid w:val="00790E66"/>
    <w:rsid w:val="00790EA3"/>
    <w:rsid w:val="00791A83"/>
    <w:rsid w:val="00792B87"/>
    <w:rsid w:val="00796F53"/>
    <w:rsid w:val="007A055B"/>
    <w:rsid w:val="007A0A6A"/>
    <w:rsid w:val="007A20E3"/>
    <w:rsid w:val="007A23AA"/>
    <w:rsid w:val="007A51E8"/>
    <w:rsid w:val="007A5795"/>
    <w:rsid w:val="007B61D2"/>
    <w:rsid w:val="007B6D40"/>
    <w:rsid w:val="007B769F"/>
    <w:rsid w:val="007C079E"/>
    <w:rsid w:val="007C2241"/>
    <w:rsid w:val="007C3C26"/>
    <w:rsid w:val="007C5C07"/>
    <w:rsid w:val="007C6EFE"/>
    <w:rsid w:val="007C7F3A"/>
    <w:rsid w:val="007D0068"/>
    <w:rsid w:val="007D24DF"/>
    <w:rsid w:val="007D3402"/>
    <w:rsid w:val="007D727A"/>
    <w:rsid w:val="007E35D3"/>
    <w:rsid w:val="007E64DA"/>
    <w:rsid w:val="007E6958"/>
    <w:rsid w:val="007F1AFE"/>
    <w:rsid w:val="007F26A0"/>
    <w:rsid w:val="007F6A99"/>
    <w:rsid w:val="007F751B"/>
    <w:rsid w:val="00806723"/>
    <w:rsid w:val="00807431"/>
    <w:rsid w:val="0080755E"/>
    <w:rsid w:val="00811298"/>
    <w:rsid w:val="008121CC"/>
    <w:rsid w:val="00815523"/>
    <w:rsid w:val="00817333"/>
    <w:rsid w:val="008236CA"/>
    <w:rsid w:val="0082467A"/>
    <w:rsid w:val="00824CD2"/>
    <w:rsid w:val="00826372"/>
    <w:rsid w:val="00830473"/>
    <w:rsid w:val="0083074C"/>
    <w:rsid w:val="008307F9"/>
    <w:rsid w:val="008350CF"/>
    <w:rsid w:val="00836D0F"/>
    <w:rsid w:val="00837963"/>
    <w:rsid w:val="00837EBC"/>
    <w:rsid w:val="00840C21"/>
    <w:rsid w:val="00840E69"/>
    <w:rsid w:val="008424D9"/>
    <w:rsid w:val="00846823"/>
    <w:rsid w:val="00847B21"/>
    <w:rsid w:val="008511B7"/>
    <w:rsid w:val="0085454A"/>
    <w:rsid w:val="008545C8"/>
    <w:rsid w:val="00854D74"/>
    <w:rsid w:val="008562E0"/>
    <w:rsid w:val="00856EFD"/>
    <w:rsid w:val="00866AB0"/>
    <w:rsid w:val="00870D94"/>
    <w:rsid w:val="008710D3"/>
    <w:rsid w:val="00872421"/>
    <w:rsid w:val="00873DF7"/>
    <w:rsid w:val="0087406D"/>
    <w:rsid w:val="00874E67"/>
    <w:rsid w:val="00877134"/>
    <w:rsid w:val="008776E9"/>
    <w:rsid w:val="008807B4"/>
    <w:rsid w:val="008828BA"/>
    <w:rsid w:val="0088311D"/>
    <w:rsid w:val="00884698"/>
    <w:rsid w:val="00884ECC"/>
    <w:rsid w:val="00884F4F"/>
    <w:rsid w:val="0089123E"/>
    <w:rsid w:val="008A0E2D"/>
    <w:rsid w:val="008A27B9"/>
    <w:rsid w:val="008A7575"/>
    <w:rsid w:val="008B28C6"/>
    <w:rsid w:val="008B7F19"/>
    <w:rsid w:val="008C1978"/>
    <w:rsid w:val="008C2920"/>
    <w:rsid w:val="008C2A2E"/>
    <w:rsid w:val="008C32EF"/>
    <w:rsid w:val="008C4658"/>
    <w:rsid w:val="008C50B9"/>
    <w:rsid w:val="008C6238"/>
    <w:rsid w:val="008D101F"/>
    <w:rsid w:val="008D64E8"/>
    <w:rsid w:val="008E0A43"/>
    <w:rsid w:val="008E0EEF"/>
    <w:rsid w:val="008E1E12"/>
    <w:rsid w:val="008E4C7C"/>
    <w:rsid w:val="008E4FEB"/>
    <w:rsid w:val="008E72BE"/>
    <w:rsid w:val="008E77AC"/>
    <w:rsid w:val="008F1F07"/>
    <w:rsid w:val="008F20E2"/>
    <w:rsid w:val="008F2A77"/>
    <w:rsid w:val="008F2C8F"/>
    <w:rsid w:val="008F2D0B"/>
    <w:rsid w:val="008F43C0"/>
    <w:rsid w:val="008F51C6"/>
    <w:rsid w:val="008F5276"/>
    <w:rsid w:val="00900AC4"/>
    <w:rsid w:val="00901A65"/>
    <w:rsid w:val="0091426F"/>
    <w:rsid w:val="00914782"/>
    <w:rsid w:val="00916045"/>
    <w:rsid w:val="00916B5D"/>
    <w:rsid w:val="00916B68"/>
    <w:rsid w:val="0092148F"/>
    <w:rsid w:val="00925097"/>
    <w:rsid w:val="009250CD"/>
    <w:rsid w:val="00925A00"/>
    <w:rsid w:val="009265B9"/>
    <w:rsid w:val="009334A8"/>
    <w:rsid w:val="00934742"/>
    <w:rsid w:val="009372B3"/>
    <w:rsid w:val="00941ECD"/>
    <w:rsid w:val="009429FC"/>
    <w:rsid w:val="00943ADF"/>
    <w:rsid w:val="009467C9"/>
    <w:rsid w:val="009472B1"/>
    <w:rsid w:val="00951491"/>
    <w:rsid w:val="009535C2"/>
    <w:rsid w:val="0095396E"/>
    <w:rsid w:val="009549C7"/>
    <w:rsid w:val="00954FD0"/>
    <w:rsid w:val="009621F3"/>
    <w:rsid w:val="009636B7"/>
    <w:rsid w:val="00964A0C"/>
    <w:rsid w:val="00965762"/>
    <w:rsid w:val="0096694F"/>
    <w:rsid w:val="009708AC"/>
    <w:rsid w:val="0097245C"/>
    <w:rsid w:val="00972BDC"/>
    <w:rsid w:val="00975B27"/>
    <w:rsid w:val="00982E80"/>
    <w:rsid w:val="009831F1"/>
    <w:rsid w:val="009855F3"/>
    <w:rsid w:val="00986BE8"/>
    <w:rsid w:val="00987CCF"/>
    <w:rsid w:val="00990FDE"/>
    <w:rsid w:val="00991913"/>
    <w:rsid w:val="00993523"/>
    <w:rsid w:val="00993CD1"/>
    <w:rsid w:val="00995522"/>
    <w:rsid w:val="009A36CE"/>
    <w:rsid w:val="009A38B9"/>
    <w:rsid w:val="009A4843"/>
    <w:rsid w:val="009A7920"/>
    <w:rsid w:val="009B0D52"/>
    <w:rsid w:val="009B4440"/>
    <w:rsid w:val="009B6A81"/>
    <w:rsid w:val="009B76A1"/>
    <w:rsid w:val="009C4984"/>
    <w:rsid w:val="009C6777"/>
    <w:rsid w:val="009C7AEB"/>
    <w:rsid w:val="009D1BBD"/>
    <w:rsid w:val="009D3F1D"/>
    <w:rsid w:val="009D6F2B"/>
    <w:rsid w:val="009E0D63"/>
    <w:rsid w:val="009E4DF5"/>
    <w:rsid w:val="009E5DC4"/>
    <w:rsid w:val="009F45AE"/>
    <w:rsid w:val="009F6D60"/>
    <w:rsid w:val="009F7C6E"/>
    <w:rsid w:val="00A017D6"/>
    <w:rsid w:val="00A017D7"/>
    <w:rsid w:val="00A03A5A"/>
    <w:rsid w:val="00A04F85"/>
    <w:rsid w:val="00A10F7F"/>
    <w:rsid w:val="00A114D6"/>
    <w:rsid w:val="00A211E2"/>
    <w:rsid w:val="00A217E2"/>
    <w:rsid w:val="00A300F9"/>
    <w:rsid w:val="00A308CC"/>
    <w:rsid w:val="00A310EC"/>
    <w:rsid w:val="00A34025"/>
    <w:rsid w:val="00A36147"/>
    <w:rsid w:val="00A36E31"/>
    <w:rsid w:val="00A411D6"/>
    <w:rsid w:val="00A41A0D"/>
    <w:rsid w:val="00A424B2"/>
    <w:rsid w:val="00A42D78"/>
    <w:rsid w:val="00A43C41"/>
    <w:rsid w:val="00A45678"/>
    <w:rsid w:val="00A4653D"/>
    <w:rsid w:val="00A46C4C"/>
    <w:rsid w:val="00A51878"/>
    <w:rsid w:val="00A532D7"/>
    <w:rsid w:val="00A53FF1"/>
    <w:rsid w:val="00A56C4F"/>
    <w:rsid w:val="00A63518"/>
    <w:rsid w:val="00A70C21"/>
    <w:rsid w:val="00A70E0C"/>
    <w:rsid w:val="00A7455B"/>
    <w:rsid w:val="00A74D84"/>
    <w:rsid w:val="00A770E4"/>
    <w:rsid w:val="00A81869"/>
    <w:rsid w:val="00A82D5B"/>
    <w:rsid w:val="00A85B11"/>
    <w:rsid w:val="00A8667A"/>
    <w:rsid w:val="00A86803"/>
    <w:rsid w:val="00A921F6"/>
    <w:rsid w:val="00A927AC"/>
    <w:rsid w:val="00A93E5F"/>
    <w:rsid w:val="00A968D2"/>
    <w:rsid w:val="00A9785F"/>
    <w:rsid w:val="00AA0117"/>
    <w:rsid w:val="00AA03E9"/>
    <w:rsid w:val="00AB20DE"/>
    <w:rsid w:val="00AB34C6"/>
    <w:rsid w:val="00AB4E75"/>
    <w:rsid w:val="00AC45B7"/>
    <w:rsid w:val="00AC4EA5"/>
    <w:rsid w:val="00AC5133"/>
    <w:rsid w:val="00AC5C9A"/>
    <w:rsid w:val="00AC7255"/>
    <w:rsid w:val="00AC7F35"/>
    <w:rsid w:val="00AD093B"/>
    <w:rsid w:val="00AD3063"/>
    <w:rsid w:val="00AD39D6"/>
    <w:rsid w:val="00AD7E98"/>
    <w:rsid w:val="00AE1F7F"/>
    <w:rsid w:val="00AE4D93"/>
    <w:rsid w:val="00AE7931"/>
    <w:rsid w:val="00AF19BA"/>
    <w:rsid w:val="00AF4EF7"/>
    <w:rsid w:val="00B00FDD"/>
    <w:rsid w:val="00B01EC0"/>
    <w:rsid w:val="00B05B63"/>
    <w:rsid w:val="00B1553B"/>
    <w:rsid w:val="00B172F0"/>
    <w:rsid w:val="00B17936"/>
    <w:rsid w:val="00B22307"/>
    <w:rsid w:val="00B22357"/>
    <w:rsid w:val="00B23BE1"/>
    <w:rsid w:val="00B2482E"/>
    <w:rsid w:val="00B249ED"/>
    <w:rsid w:val="00B258D9"/>
    <w:rsid w:val="00B25A5A"/>
    <w:rsid w:val="00B30BB7"/>
    <w:rsid w:val="00B34531"/>
    <w:rsid w:val="00B34B5E"/>
    <w:rsid w:val="00B354DB"/>
    <w:rsid w:val="00B35F8D"/>
    <w:rsid w:val="00B40E96"/>
    <w:rsid w:val="00B427FE"/>
    <w:rsid w:val="00B45DB1"/>
    <w:rsid w:val="00B45EF0"/>
    <w:rsid w:val="00B525C6"/>
    <w:rsid w:val="00B52679"/>
    <w:rsid w:val="00B53456"/>
    <w:rsid w:val="00B53A6A"/>
    <w:rsid w:val="00B61087"/>
    <w:rsid w:val="00B613BD"/>
    <w:rsid w:val="00B619A4"/>
    <w:rsid w:val="00B61CEA"/>
    <w:rsid w:val="00B64BB9"/>
    <w:rsid w:val="00B65DF7"/>
    <w:rsid w:val="00B67D7E"/>
    <w:rsid w:val="00B75A36"/>
    <w:rsid w:val="00B75FD1"/>
    <w:rsid w:val="00B76EFA"/>
    <w:rsid w:val="00B80139"/>
    <w:rsid w:val="00B80143"/>
    <w:rsid w:val="00B80289"/>
    <w:rsid w:val="00B83459"/>
    <w:rsid w:val="00B85FF7"/>
    <w:rsid w:val="00B86546"/>
    <w:rsid w:val="00B87551"/>
    <w:rsid w:val="00B87C2B"/>
    <w:rsid w:val="00B90E35"/>
    <w:rsid w:val="00B97BA8"/>
    <w:rsid w:val="00BA23FB"/>
    <w:rsid w:val="00BA3EAD"/>
    <w:rsid w:val="00BA630A"/>
    <w:rsid w:val="00BB0BE4"/>
    <w:rsid w:val="00BB1FD8"/>
    <w:rsid w:val="00BB6466"/>
    <w:rsid w:val="00BC3403"/>
    <w:rsid w:val="00BC519C"/>
    <w:rsid w:val="00BC5409"/>
    <w:rsid w:val="00BD03FE"/>
    <w:rsid w:val="00BD1DEE"/>
    <w:rsid w:val="00BD2307"/>
    <w:rsid w:val="00BD4325"/>
    <w:rsid w:val="00BE3980"/>
    <w:rsid w:val="00BE4A3C"/>
    <w:rsid w:val="00BE55CA"/>
    <w:rsid w:val="00BE5E93"/>
    <w:rsid w:val="00BE6959"/>
    <w:rsid w:val="00BF7FC4"/>
    <w:rsid w:val="00C01242"/>
    <w:rsid w:val="00C052D6"/>
    <w:rsid w:val="00C07300"/>
    <w:rsid w:val="00C119EF"/>
    <w:rsid w:val="00C1405E"/>
    <w:rsid w:val="00C14803"/>
    <w:rsid w:val="00C17D74"/>
    <w:rsid w:val="00C21581"/>
    <w:rsid w:val="00C23615"/>
    <w:rsid w:val="00C25895"/>
    <w:rsid w:val="00C2750E"/>
    <w:rsid w:val="00C343C6"/>
    <w:rsid w:val="00C35457"/>
    <w:rsid w:val="00C36078"/>
    <w:rsid w:val="00C40875"/>
    <w:rsid w:val="00C41ADD"/>
    <w:rsid w:val="00C41C2B"/>
    <w:rsid w:val="00C422F3"/>
    <w:rsid w:val="00C4484E"/>
    <w:rsid w:val="00C53F52"/>
    <w:rsid w:val="00C55691"/>
    <w:rsid w:val="00C604AF"/>
    <w:rsid w:val="00C63EB0"/>
    <w:rsid w:val="00C640C7"/>
    <w:rsid w:val="00C642D6"/>
    <w:rsid w:val="00C70E90"/>
    <w:rsid w:val="00C74E2E"/>
    <w:rsid w:val="00C81C56"/>
    <w:rsid w:val="00C831A8"/>
    <w:rsid w:val="00C83648"/>
    <w:rsid w:val="00C8423D"/>
    <w:rsid w:val="00C874FD"/>
    <w:rsid w:val="00C9052E"/>
    <w:rsid w:val="00C90B0E"/>
    <w:rsid w:val="00C92AC8"/>
    <w:rsid w:val="00CA03F0"/>
    <w:rsid w:val="00CA09C5"/>
    <w:rsid w:val="00CA0D55"/>
    <w:rsid w:val="00CA7A56"/>
    <w:rsid w:val="00CA7E4E"/>
    <w:rsid w:val="00CB1702"/>
    <w:rsid w:val="00CB2F5E"/>
    <w:rsid w:val="00CC213F"/>
    <w:rsid w:val="00CC55F2"/>
    <w:rsid w:val="00CC746A"/>
    <w:rsid w:val="00CD01C4"/>
    <w:rsid w:val="00CD4864"/>
    <w:rsid w:val="00CD50FB"/>
    <w:rsid w:val="00CD6F65"/>
    <w:rsid w:val="00CD7239"/>
    <w:rsid w:val="00CE2025"/>
    <w:rsid w:val="00CE3D93"/>
    <w:rsid w:val="00CE55F9"/>
    <w:rsid w:val="00CF1B69"/>
    <w:rsid w:val="00CF6352"/>
    <w:rsid w:val="00CF7D89"/>
    <w:rsid w:val="00D02314"/>
    <w:rsid w:val="00D026BC"/>
    <w:rsid w:val="00D02BB4"/>
    <w:rsid w:val="00D057D8"/>
    <w:rsid w:val="00D07853"/>
    <w:rsid w:val="00D079C0"/>
    <w:rsid w:val="00D13F12"/>
    <w:rsid w:val="00D15B28"/>
    <w:rsid w:val="00D170F0"/>
    <w:rsid w:val="00D17397"/>
    <w:rsid w:val="00D2166B"/>
    <w:rsid w:val="00D21B94"/>
    <w:rsid w:val="00D21ED6"/>
    <w:rsid w:val="00D269A9"/>
    <w:rsid w:val="00D30143"/>
    <w:rsid w:val="00D30336"/>
    <w:rsid w:val="00D310AF"/>
    <w:rsid w:val="00D32568"/>
    <w:rsid w:val="00D32B0A"/>
    <w:rsid w:val="00D413CA"/>
    <w:rsid w:val="00D41505"/>
    <w:rsid w:val="00D41532"/>
    <w:rsid w:val="00D42BB8"/>
    <w:rsid w:val="00D42C2D"/>
    <w:rsid w:val="00D44BA4"/>
    <w:rsid w:val="00D51D21"/>
    <w:rsid w:val="00D603EC"/>
    <w:rsid w:val="00D64616"/>
    <w:rsid w:val="00D664F7"/>
    <w:rsid w:val="00D718C5"/>
    <w:rsid w:val="00D76669"/>
    <w:rsid w:val="00D776D2"/>
    <w:rsid w:val="00D8779F"/>
    <w:rsid w:val="00D8792A"/>
    <w:rsid w:val="00D9054A"/>
    <w:rsid w:val="00D90631"/>
    <w:rsid w:val="00D90D02"/>
    <w:rsid w:val="00D9113C"/>
    <w:rsid w:val="00D92A7F"/>
    <w:rsid w:val="00D945C6"/>
    <w:rsid w:val="00D947CE"/>
    <w:rsid w:val="00D97450"/>
    <w:rsid w:val="00D97611"/>
    <w:rsid w:val="00D976CC"/>
    <w:rsid w:val="00DB7080"/>
    <w:rsid w:val="00DB740B"/>
    <w:rsid w:val="00DB7BE2"/>
    <w:rsid w:val="00DC068F"/>
    <w:rsid w:val="00DC3CCC"/>
    <w:rsid w:val="00DC4DE6"/>
    <w:rsid w:val="00DC61D2"/>
    <w:rsid w:val="00DC667E"/>
    <w:rsid w:val="00DD2370"/>
    <w:rsid w:val="00DD2D4F"/>
    <w:rsid w:val="00DD497B"/>
    <w:rsid w:val="00DD7CBC"/>
    <w:rsid w:val="00DE08F5"/>
    <w:rsid w:val="00DE1BCE"/>
    <w:rsid w:val="00DE6794"/>
    <w:rsid w:val="00DE6CE0"/>
    <w:rsid w:val="00DE7095"/>
    <w:rsid w:val="00DE7871"/>
    <w:rsid w:val="00DF7145"/>
    <w:rsid w:val="00DF7F77"/>
    <w:rsid w:val="00E01824"/>
    <w:rsid w:val="00E04EFE"/>
    <w:rsid w:val="00E0578C"/>
    <w:rsid w:val="00E117CF"/>
    <w:rsid w:val="00E14D77"/>
    <w:rsid w:val="00E22054"/>
    <w:rsid w:val="00E23E36"/>
    <w:rsid w:val="00E26E5C"/>
    <w:rsid w:val="00E32728"/>
    <w:rsid w:val="00E333CD"/>
    <w:rsid w:val="00E34521"/>
    <w:rsid w:val="00E40C37"/>
    <w:rsid w:val="00E41C81"/>
    <w:rsid w:val="00E442A1"/>
    <w:rsid w:val="00E45412"/>
    <w:rsid w:val="00E45FFD"/>
    <w:rsid w:val="00E46663"/>
    <w:rsid w:val="00E4733F"/>
    <w:rsid w:val="00E47508"/>
    <w:rsid w:val="00E51418"/>
    <w:rsid w:val="00E5204D"/>
    <w:rsid w:val="00E54447"/>
    <w:rsid w:val="00E54892"/>
    <w:rsid w:val="00E55A22"/>
    <w:rsid w:val="00E57285"/>
    <w:rsid w:val="00E607BD"/>
    <w:rsid w:val="00E61029"/>
    <w:rsid w:val="00E6230B"/>
    <w:rsid w:val="00E624A6"/>
    <w:rsid w:val="00E6529F"/>
    <w:rsid w:val="00E66A57"/>
    <w:rsid w:val="00E70BD3"/>
    <w:rsid w:val="00E70ED8"/>
    <w:rsid w:val="00E747EE"/>
    <w:rsid w:val="00E74F7F"/>
    <w:rsid w:val="00E75FD4"/>
    <w:rsid w:val="00E81348"/>
    <w:rsid w:val="00E82489"/>
    <w:rsid w:val="00E842BD"/>
    <w:rsid w:val="00E84D9D"/>
    <w:rsid w:val="00E85206"/>
    <w:rsid w:val="00E92205"/>
    <w:rsid w:val="00EA0788"/>
    <w:rsid w:val="00EA0BBC"/>
    <w:rsid w:val="00EA5C5B"/>
    <w:rsid w:val="00EB008F"/>
    <w:rsid w:val="00EB7801"/>
    <w:rsid w:val="00EC073B"/>
    <w:rsid w:val="00EC333B"/>
    <w:rsid w:val="00EC6358"/>
    <w:rsid w:val="00ED0410"/>
    <w:rsid w:val="00ED1BF7"/>
    <w:rsid w:val="00ED67F5"/>
    <w:rsid w:val="00ED6D1E"/>
    <w:rsid w:val="00EE01B1"/>
    <w:rsid w:val="00EE13B9"/>
    <w:rsid w:val="00EE27DE"/>
    <w:rsid w:val="00EE2C94"/>
    <w:rsid w:val="00EE5C56"/>
    <w:rsid w:val="00EE68AF"/>
    <w:rsid w:val="00EE797C"/>
    <w:rsid w:val="00EE7D8E"/>
    <w:rsid w:val="00EF2C83"/>
    <w:rsid w:val="00F00EB6"/>
    <w:rsid w:val="00F06A1C"/>
    <w:rsid w:val="00F07DA8"/>
    <w:rsid w:val="00F125EC"/>
    <w:rsid w:val="00F14BB8"/>
    <w:rsid w:val="00F17E4D"/>
    <w:rsid w:val="00F22979"/>
    <w:rsid w:val="00F23730"/>
    <w:rsid w:val="00F23FAD"/>
    <w:rsid w:val="00F2597A"/>
    <w:rsid w:val="00F27876"/>
    <w:rsid w:val="00F31A5C"/>
    <w:rsid w:val="00F349EE"/>
    <w:rsid w:val="00F34ED7"/>
    <w:rsid w:val="00F352A9"/>
    <w:rsid w:val="00F361EF"/>
    <w:rsid w:val="00F37270"/>
    <w:rsid w:val="00F426D7"/>
    <w:rsid w:val="00F43B48"/>
    <w:rsid w:val="00F44EAE"/>
    <w:rsid w:val="00F50B09"/>
    <w:rsid w:val="00F513AB"/>
    <w:rsid w:val="00F52D70"/>
    <w:rsid w:val="00F5333B"/>
    <w:rsid w:val="00F54747"/>
    <w:rsid w:val="00F6096B"/>
    <w:rsid w:val="00F70F80"/>
    <w:rsid w:val="00F71043"/>
    <w:rsid w:val="00F734F8"/>
    <w:rsid w:val="00F75626"/>
    <w:rsid w:val="00F76252"/>
    <w:rsid w:val="00F77A25"/>
    <w:rsid w:val="00F77A4B"/>
    <w:rsid w:val="00F81889"/>
    <w:rsid w:val="00F82B0E"/>
    <w:rsid w:val="00F842A3"/>
    <w:rsid w:val="00F8556E"/>
    <w:rsid w:val="00F86955"/>
    <w:rsid w:val="00F87350"/>
    <w:rsid w:val="00F87880"/>
    <w:rsid w:val="00F926C9"/>
    <w:rsid w:val="00F92837"/>
    <w:rsid w:val="00F94917"/>
    <w:rsid w:val="00F9521F"/>
    <w:rsid w:val="00F958C7"/>
    <w:rsid w:val="00F97274"/>
    <w:rsid w:val="00FA4101"/>
    <w:rsid w:val="00FA6FA4"/>
    <w:rsid w:val="00FB3607"/>
    <w:rsid w:val="00FB3FCF"/>
    <w:rsid w:val="00FB5309"/>
    <w:rsid w:val="00FB73EC"/>
    <w:rsid w:val="00FC50DB"/>
    <w:rsid w:val="00FC5D5E"/>
    <w:rsid w:val="00FD1549"/>
    <w:rsid w:val="00FD2252"/>
    <w:rsid w:val="00FD342C"/>
    <w:rsid w:val="00FD344A"/>
    <w:rsid w:val="00FD3DD1"/>
    <w:rsid w:val="00FE0603"/>
    <w:rsid w:val="00FE12A1"/>
    <w:rsid w:val="00FE173D"/>
    <w:rsid w:val="00FE29C7"/>
    <w:rsid w:val="00FE2DB1"/>
    <w:rsid w:val="00FE3B5C"/>
    <w:rsid w:val="00FE4153"/>
    <w:rsid w:val="00FF0A0C"/>
    <w:rsid w:val="00FF13B3"/>
    <w:rsid w:val="00FF191B"/>
    <w:rsid w:val="00FF1B8A"/>
    <w:rsid w:val="00FF1F54"/>
    <w:rsid w:val="00FF35B7"/>
    <w:rsid w:val="00FF43F3"/>
    <w:rsid w:val="00FF596E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9D299"/>
  <w15:chartTrackingRefBased/>
  <w15:docId w15:val="{C55487D6-DC04-4FC7-A96A-A00DC9B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EA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 Narrow" w:hAnsi="Arial Narrow"/>
      <w:kern w:val="0"/>
      <w:sz w:val="24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90EA3"/>
    <w:rPr>
      <w:rFonts w:ascii="Arial Narrow" w:hAnsi="Arial Narrow"/>
      <w:kern w:val="0"/>
      <w:sz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90EA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 Narrow" w:hAnsi="Arial Narrow"/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EA3"/>
    <w:rPr>
      <w:rFonts w:ascii="Arial Narrow" w:hAnsi="Arial Narrow"/>
      <w:kern w:val="0"/>
      <w:sz w:val="24"/>
      <w14:ligatures w14:val="none"/>
    </w:rPr>
  </w:style>
  <w:style w:type="table" w:styleId="Tablaconcuadrcula">
    <w:name w:val="Table Grid"/>
    <w:basedOn w:val="Tablanormal"/>
    <w:uiPriority w:val="39"/>
    <w:rsid w:val="00790E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06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F4F0-7EC1-48A9-B1A1-CDBAFE2012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Fabio  Vergara Hincapié</dc:creator>
  <cp:keywords/>
  <dc:description/>
  <cp:lastModifiedBy>Bravo Restrepo Abogados</cp:lastModifiedBy>
  <cp:revision>2</cp:revision>
  <cp:lastPrinted>2023-12-04T21:58:00Z</cp:lastPrinted>
  <dcterms:created xsi:type="dcterms:W3CDTF">2023-12-07T22:38:00Z</dcterms:created>
  <dcterms:modified xsi:type="dcterms:W3CDTF">2023-12-07T22:38:00Z</dcterms:modified>
</cp:coreProperties>
</file>