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419"/>
          <w:tab w:val="right" w:pos="8838"/>
        </w:tabs>
        <w:ind w:left="720" w:firstLine="0"/>
        <w:jc w:val="center"/>
        <w:rPr>
          <w:rFonts w:ascii="Tahoma" w:cs="Tahoma" w:eastAsia="Tahoma" w:hAnsi="Tahoma"/>
          <w:b w:val="1"/>
          <w:sz w:val="28"/>
          <w:szCs w:val="28"/>
          <w:vertAlign w:val="subscript"/>
        </w:rPr>
      </w:pPr>
      <w:r w:rsidDel="00000000" w:rsidR="00000000" w:rsidRPr="00000000">
        <w:rPr>
          <w:rFonts w:ascii="Tahoma" w:cs="Tahoma" w:eastAsia="Tahoma" w:hAnsi="Tahoma"/>
          <w:b w:val="1"/>
          <w:sz w:val="28"/>
          <w:szCs w:val="28"/>
          <w:rtl w:val="0"/>
        </w:rPr>
        <w:t xml:space="preserve">a2censo, </w:t>
      </w:r>
      <w:r w:rsidDel="00000000" w:rsidR="00000000" w:rsidRPr="00000000">
        <w:rPr>
          <w:rFonts w:ascii="Tahoma" w:cs="Tahoma" w:eastAsia="Tahoma" w:hAnsi="Tahoma"/>
          <w:b w:val="1"/>
          <w:sz w:val="28"/>
          <w:szCs w:val="28"/>
          <w:rtl w:val="0"/>
        </w:rPr>
        <w:t xml:space="preserve">la primera plataforma de crowdfunding financiero del país</w:t>
      </w:r>
      <w:r w:rsidDel="00000000" w:rsidR="00000000" w:rsidRPr="00000000">
        <w:rPr>
          <w:rFonts w:ascii="Tahoma" w:cs="Tahoma" w:eastAsia="Tahoma" w:hAnsi="Tahoma"/>
          <w:b w:val="1"/>
          <w:sz w:val="28"/>
          <w:szCs w:val="28"/>
          <w:rtl w:val="0"/>
        </w:rPr>
        <w:t xml:space="preserve"> completa 100 campañas exitosas</w:t>
      </w:r>
      <w:r w:rsidDel="00000000" w:rsidR="00000000" w:rsidRPr="00000000">
        <w:rPr>
          <w:rtl w:val="0"/>
        </w:rPr>
      </w:r>
    </w:p>
    <w:p w:rsidR="00000000" w:rsidDel="00000000" w:rsidP="00000000" w:rsidRDefault="00000000" w:rsidRPr="00000000" w14:paraId="00000002">
      <w:pPr>
        <w:tabs>
          <w:tab w:val="center" w:pos="4419"/>
          <w:tab w:val="right" w:pos="8838"/>
        </w:tabs>
        <w:ind w:left="720" w:firstLine="0"/>
        <w:jc w:val="center"/>
        <w:rPr>
          <w:rFonts w:ascii="Tahoma" w:cs="Tahoma" w:eastAsia="Tahoma" w:hAnsi="Tahoma"/>
          <w:b w:val="1"/>
          <w:sz w:val="10"/>
          <w:szCs w:val="10"/>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144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Más de COP $41.000 millones han impulsado a </w:t>
      </w:r>
      <w:r w:rsidDel="00000000" w:rsidR="00000000" w:rsidRPr="00000000">
        <w:rPr>
          <w:rFonts w:ascii="Tahoma" w:cs="Tahoma" w:eastAsia="Tahoma" w:hAnsi="Tahoma"/>
          <w:sz w:val="24"/>
          <w:szCs w:val="24"/>
          <w:rtl w:val="0"/>
        </w:rPr>
        <w:t xml:space="preserve">8</w:t>
      </w:r>
      <w:r w:rsidDel="00000000" w:rsidR="00000000" w:rsidRPr="00000000">
        <w:rPr>
          <w:rFonts w:ascii="Tahoma" w:cs="Tahoma" w:eastAsia="Tahoma" w:hAnsi="Tahoma"/>
          <w:sz w:val="24"/>
          <w:szCs w:val="24"/>
          <w:rtl w:val="0"/>
        </w:rPr>
        <w:t xml:space="preserve">6 pymes</w:t>
      </w:r>
    </w:p>
    <w:p w:rsidR="00000000" w:rsidDel="00000000" w:rsidP="00000000" w:rsidRDefault="00000000" w:rsidRPr="00000000" w14:paraId="00000004">
      <w:pPr>
        <w:numPr>
          <w:ilvl w:val="0"/>
          <w:numId w:val="1"/>
        </w:numPr>
        <w:spacing w:line="276" w:lineRule="auto"/>
        <w:ind w:left="144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7.681 personas han realizado cerca de</w:t>
      </w:r>
      <w:r w:rsidDel="00000000" w:rsidR="00000000" w:rsidRPr="00000000">
        <w:rPr>
          <w:rFonts w:ascii="Tahoma" w:cs="Tahoma" w:eastAsia="Tahoma" w:hAnsi="Tahoma"/>
          <w:sz w:val="24"/>
          <w:szCs w:val="24"/>
          <w:rtl w:val="0"/>
        </w:rPr>
        <w:t xml:space="preserve"> </w:t>
      </w:r>
      <w:r w:rsidDel="00000000" w:rsidR="00000000" w:rsidRPr="00000000">
        <w:rPr>
          <w:rFonts w:ascii="Tahoma" w:cs="Tahoma" w:eastAsia="Tahoma" w:hAnsi="Tahoma"/>
          <w:sz w:val="24"/>
          <w:szCs w:val="24"/>
          <w:rtl w:val="0"/>
        </w:rPr>
        <w:t xml:space="preserve">30.000 inversiones para el crecimiento de las pymes </w:t>
      </w:r>
    </w:p>
    <w:p w:rsidR="00000000" w:rsidDel="00000000" w:rsidP="00000000" w:rsidRDefault="00000000" w:rsidRPr="00000000" w14:paraId="00000005">
      <w:pPr>
        <w:numPr>
          <w:ilvl w:val="0"/>
          <w:numId w:val="1"/>
        </w:numPr>
        <w:spacing w:line="276" w:lineRule="auto"/>
        <w:ind w:left="1440" w:hanging="360"/>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Sectores innovadores y </w:t>
      </w:r>
      <w:r w:rsidDel="00000000" w:rsidR="00000000" w:rsidRPr="00000000">
        <w:rPr>
          <w:rFonts w:ascii="Tahoma" w:cs="Tahoma" w:eastAsia="Tahoma" w:hAnsi="Tahoma"/>
          <w:sz w:val="24"/>
          <w:szCs w:val="24"/>
          <w:rtl w:val="0"/>
        </w:rPr>
        <w:t xml:space="preserve">distintos</w:t>
      </w:r>
      <w:r w:rsidDel="00000000" w:rsidR="00000000" w:rsidRPr="00000000">
        <w:rPr>
          <w:rFonts w:ascii="Tahoma" w:cs="Tahoma" w:eastAsia="Tahoma" w:hAnsi="Tahoma"/>
          <w:sz w:val="24"/>
          <w:szCs w:val="24"/>
          <w:rtl w:val="0"/>
        </w:rPr>
        <w:t xml:space="preserve"> han encontrado impulso par</w:t>
      </w:r>
      <w:r w:rsidDel="00000000" w:rsidR="00000000" w:rsidRPr="00000000">
        <w:rPr>
          <w:rFonts w:ascii="Tahoma" w:cs="Tahoma" w:eastAsia="Tahoma" w:hAnsi="Tahoma"/>
          <w:sz w:val="24"/>
          <w:szCs w:val="24"/>
          <w:rtl w:val="0"/>
        </w:rPr>
        <w:t xml:space="preserve">a </w:t>
      </w:r>
      <w:r w:rsidDel="00000000" w:rsidR="00000000" w:rsidRPr="00000000">
        <w:rPr>
          <w:rFonts w:ascii="Tahoma" w:cs="Tahoma" w:eastAsia="Tahoma" w:hAnsi="Tahoma"/>
          <w:sz w:val="24"/>
          <w:szCs w:val="24"/>
          <w:rtl w:val="0"/>
        </w:rPr>
        <w:t xml:space="preserve">sus planes</w:t>
      </w:r>
    </w:p>
    <w:p w:rsidR="00000000" w:rsidDel="00000000" w:rsidP="00000000" w:rsidRDefault="00000000" w:rsidRPr="00000000" w14:paraId="00000006">
      <w:pPr>
        <w:spacing w:line="276" w:lineRule="auto"/>
        <w:ind w:left="0" w:firstLine="0"/>
        <w:jc w:val="both"/>
        <w:rPr>
          <w:rFonts w:ascii="Tahoma" w:cs="Tahoma" w:eastAsia="Tahoma" w:hAnsi="Tahoma"/>
          <w:b w:val="1"/>
          <w:sz w:val="20"/>
          <w:szCs w:val="20"/>
        </w:rPr>
      </w:pPr>
      <w:r w:rsidDel="00000000" w:rsidR="00000000" w:rsidRPr="00000000">
        <w:rPr>
          <w:rFonts w:ascii="Tahoma" w:cs="Tahoma" w:eastAsia="Tahoma" w:hAnsi="Tahoma"/>
          <w:sz w:val="24"/>
          <w:szCs w:val="24"/>
          <w:rtl w:val="0"/>
        </w:rPr>
        <w:t xml:space="preserve"> </w:t>
      </w:r>
      <w:r w:rsidDel="00000000" w:rsidR="00000000" w:rsidRPr="00000000">
        <w:rPr>
          <w:rtl w:val="0"/>
        </w:rPr>
      </w:r>
    </w:p>
    <w:p w:rsidR="00000000" w:rsidDel="00000000" w:rsidP="00000000" w:rsidRDefault="00000000" w:rsidRPr="00000000" w14:paraId="00000007">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Bogotá, 25</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b w:val="1"/>
          <w:sz w:val="24"/>
          <w:szCs w:val="24"/>
          <w:rtl w:val="0"/>
        </w:rPr>
        <w:t xml:space="preserve">de marzo de 2022 . — </w:t>
      </w:r>
      <w:r w:rsidDel="00000000" w:rsidR="00000000" w:rsidRPr="00000000">
        <w:rPr>
          <w:rFonts w:ascii="Tahoma" w:cs="Tahoma" w:eastAsia="Tahoma" w:hAnsi="Tahoma"/>
          <w:sz w:val="24"/>
          <w:szCs w:val="24"/>
          <w:rtl w:val="0"/>
        </w:rPr>
        <w:t xml:space="preserve"> En tan solo 28 meses de operación, desde su lanzamiento, a2censo ha logrado impulsar el crecimiento de 86 pymes, a través de 100 campañas de emisión de deuda. Esto la convierte en la principal plataforma de crowdfunding financiero del país, al tener en promedio 3,5 campañas exitosas por mes.</w:t>
      </w:r>
    </w:p>
    <w:p w:rsidR="00000000" w:rsidDel="00000000" w:rsidP="00000000" w:rsidRDefault="00000000" w:rsidRPr="00000000" w14:paraId="00000008">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a2censo además ha consolidado un ecosistema de financiación colaborativa con más de 7.681 inversionistas que apuestan por el crecimiento de las pequeñas y medianas empresas del país, con el respaldo del Fondo Nacional de Garantías, hasta del 70% en algunos casos. De esta manera, y con cerca de 30.000 inversiones, ha logrado impulsar esos proyectos empresariales con COP $41.288 millones, para invertirlos en expansión del negocio, incorporación de capital humano, innovación de producto de estas empresas, etc.</w:t>
      </w:r>
    </w:p>
    <w:p w:rsidR="00000000" w:rsidDel="00000000" w:rsidP="00000000" w:rsidRDefault="00000000" w:rsidRPr="00000000" w14:paraId="00000009">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éxito de a2censo se refleja en que trece empresas han decidido volver a usarlo como mecanismo alternativo de financiación con proyectos cada vez más grandes. Este es el caso de Mascotas Bichos, De una Gruas, Elepha, Genersa, Mister Tru, Habi, T4 Colombia, Plusaseo Hogar, RobinFood, Servisépticos, Sistemas Energéticos Alternativos, Tower One Wireless y Velonet. </w:t>
      </w:r>
    </w:p>
    <w:p w:rsidR="00000000" w:rsidDel="00000000" w:rsidP="00000000" w:rsidRDefault="00000000" w:rsidRPr="00000000" w14:paraId="0000000A">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Estas pymes en su segunda campaña se han financiado </w:t>
      </w:r>
      <w:r w:rsidDel="00000000" w:rsidR="00000000" w:rsidRPr="00000000">
        <w:rPr>
          <w:rFonts w:ascii="Tahoma" w:cs="Tahoma" w:eastAsia="Tahoma" w:hAnsi="Tahoma"/>
          <w:sz w:val="24"/>
          <w:szCs w:val="24"/>
          <w:rtl w:val="0"/>
        </w:rPr>
        <w:t xml:space="preserve">hasta por cuatro</w:t>
      </w:r>
      <w:r w:rsidDel="00000000" w:rsidR="00000000" w:rsidRPr="00000000">
        <w:rPr>
          <w:rFonts w:ascii="Tahoma" w:cs="Tahoma" w:eastAsia="Tahoma" w:hAnsi="Tahoma"/>
          <w:sz w:val="24"/>
          <w:szCs w:val="24"/>
          <w:rtl w:val="0"/>
        </w:rPr>
        <w:t xml:space="preserve"> veces el valor de su primera emisión. Así lo muestra Tower One Wireless, que en 2020 recaudó COP $250 millones y en 2021 entró al grupo de las grandes emisoras con COP $1.000 millones. </w:t>
      </w:r>
    </w:p>
    <w:p w:rsidR="00000000" w:rsidDel="00000000" w:rsidP="00000000" w:rsidRDefault="00000000" w:rsidRPr="00000000" w14:paraId="0000000B">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De acuerdo con Juan Pablo Córdoba, presidente de la Bolsa, el hecho de alcanzar las primeras 100 campañas financiadas en tan corto plazo “demuestra que hay un universo empresarial en desarrollo que necesita apoyo para continuar creciendo. Pero además una nueva generación de inversionistas que además de retornos atractivos, se sienten identificados con proyectos empresariales distintos, que le apuestan al emprendimiento y que quieren participar de ese proceso de crecimiento si les facilitamos el acceso y lo acomodamos a su bolsillo”.</w:t>
      </w:r>
    </w:p>
    <w:p w:rsidR="00000000" w:rsidDel="00000000" w:rsidP="00000000" w:rsidRDefault="00000000" w:rsidRPr="00000000" w14:paraId="0000000C">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Por industrias, las empresas que se han financiado en a2censo, son muy distintas a las tradicionales que recurren al mercado de capitales y  provienen principalmente de los sectores: Información y Comunicaciones con 20 campañas; Energía renovables con 15 campañas; Agroindustria con 10 campañas; Salud con siete campañas; Investigación y Ciencia con seis y </w:t>
      </w:r>
      <w:r w:rsidDel="00000000" w:rsidR="00000000" w:rsidRPr="00000000">
        <w:rPr>
          <w:rFonts w:ascii="Tahoma" w:cs="Tahoma" w:eastAsia="Tahoma" w:hAnsi="Tahoma"/>
          <w:sz w:val="24"/>
          <w:szCs w:val="24"/>
          <w:rtl w:val="0"/>
        </w:rPr>
        <w:t xml:space="preserve">Alojamiento y Servicios de Comida con 5 campañas.</w:t>
      </w:r>
      <w:r w:rsidDel="00000000" w:rsidR="00000000" w:rsidRPr="00000000">
        <w:rPr>
          <w:rFonts w:ascii="Tahoma" w:cs="Tahoma" w:eastAsia="Tahoma" w:hAnsi="Tahoma"/>
          <w:sz w:val="24"/>
          <w:szCs w:val="24"/>
          <w:rtl w:val="0"/>
        </w:rPr>
        <w:t xml:space="preserve"> </w:t>
      </w:r>
    </w:p>
    <w:p w:rsidR="00000000" w:rsidDel="00000000" w:rsidP="00000000" w:rsidRDefault="00000000" w:rsidRPr="00000000" w14:paraId="0000000D">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La campaña más rápida en cerrarse fue la de segunda de Mister Tru con 25 segundos. Las más cuantiosas fueron Habi y RobinFood, cada una con un financiamiento de COP $3.000 millones y de igual forma, esta segunda emisión de RobinFood fue la campaña que más inversionistas ha atraído con un total de 1.796 participantes.</w:t>
      </w:r>
    </w:p>
    <w:p w:rsidR="00000000" w:rsidDel="00000000" w:rsidP="00000000" w:rsidRDefault="00000000" w:rsidRPr="00000000" w14:paraId="0000000E">
      <w:pPr>
        <w:jc w:val="both"/>
        <w:rPr>
          <w:rFonts w:ascii="Tahoma" w:cs="Tahoma" w:eastAsia="Tahoma" w:hAnsi="Tahoma"/>
          <w:sz w:val="24"/>
          <w:szCs w:val="24"/>
          <w:highlight w:val="yellow"/>
        </w:rPr>
      </w:pPr>
      <w:r w:rsidDel="00000000" w:rsidR="00000000" w:rsidRPr="00000000">
        <w:rPr>
          <w:rtl w:val="0"/>
        </w:rPr>
      </w:r>
    </w:p>
    <w:p w:rsidR="00000000" w:rsidDel="00000000" w:rsidP="00000000" w:rsidRDefault="00000000" w:rsidRPr="00000000" w14:paraId="0000000F">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A continuación el listado en orden cronológico de las 100 campañas financiadas</w:t>
      </w:r>
      <w:r w:rsidDel="00000000" w:rsidR="00000000" w:rsidRPr="00000000">
        <w:rPr>
          <w:rFonts w:ascii="Tahoma" w:cs="Tahoma" w:eastAsia="Tahoma" w:hAnsi="Tahoma"/>
          <w:sz w:val="24"/>
          <w:szCs w:val="24"/>
          <w:rtl w:val="0"/>
        </w:rPr>
        <w:t xml:space="preserve">:</w:t>
      </w:r>
      <w:r w:rsidDel="00000000" w:rsidR="00000000" w:rsidRPr="00000000">
        <w:rPr>
          <w:rtl w:val="0"/>
        </w:rPr>
      </w:r>
    </w:p>
    <w:p w:rsidR="00000000" w:rsidDel="00000000" w:rsidP="00000000" w:rsidRDefault="00000000" w:rsidRPr="00000000" w14:paraId="00000010">
      <w:pPr>
        <w:jc w:val="both"/>
        <w:rPr>
          <w:rFonts w:ascii="Tahoma" w:cs="Tahoma" w:eastAsia="Tahoma" w:hAnsi="Tahoma"/>
          <w:sz w:val="24"/>
          <w:szCs w:val="24"/>
        </w:rPr>
      </w:pPr>
      <w:r w:rsidDel="00000000" w:rsidR="00000000" w:rsidRPr="00000000">
        <w:rPr>
          <w:rtl w:val="0"/>
        </w:rPr>
      </w:r>
    </w:p>
    <w:tbl>
      <w:tblPr>
        <w:tblStyle w:val="Table1"/>
        <w:tblW w:w="64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60"/>
        <w:gridCol w:w="2760"/>
        <w:tblGridChange w:id="0">
          <w:tblGrid>
            <w:gridCol w:w="3660"/>
            <w:gridCol w:w="2760"/>
          </w:tblGrid>
        </w:tblGridChange>
      </w:tblGrid>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Emisor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4"/>
                <w:szCs w:val="24"/>
                <w:rtl w:val="0"/>
              </w:rPr>
              <w:t xml:space="preserve">Monto a Financiar</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Soluciones Alegra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Inelco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Monbel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3biomat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Proctek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Orso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Elepha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Care Cloud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Queo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Tower One Wireless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Plusaseo Hogar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Satlock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El Centro De Los Sentidos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Velonet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Proyemetal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De Raíz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Industrias Alimenticias Mister Tru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La Familia Del Mono (Sajú)</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Sistemas Energeticos Alternativos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Ambiente Soluciones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Tiendapp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Casa Ibañez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Inversiones Loguz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Velonet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Insitel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Resuelve Tu Deuda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Grupo Empresarial O&amp;C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De Una Grúas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Smart Taxi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Habi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Colombian Trade Company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Imagine Apps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Diveco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Prokarting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De Una Grúas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Tu Orden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Arintia Group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Cocina Oculta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Ckt Global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$250.000.000</w:t>
            </w:r>
          </w:p>
        </w:tc>
      </w:tr>
      <w:tr>
        <w:trPr>
          <w:cantSplit w:val="0"/>
          <w:trHeight w:val="3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Mascotas Bichos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Piraní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Sushi Bogotá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Iwin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93 Luxury Suites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Plusaseo Hogar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Aoxlab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Salzedo Muñoz Inversiones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Vendty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Educación por Excelencia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T4 Colombia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Colombian Ship Supplier S.A.S.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Genersa S.A.S. E.S.P.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Velonet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Robinfood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Fundación Juan Felipe Gómez Escobar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Electricercas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8bits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Servisépticos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Celuventas Colombia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Asadores El Barril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Vain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Rb Group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Habi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Asfalto en Frío Asf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Ad In Publicidad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Alimentos Campo Norte Colombia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Monterra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Inversiones Giraldo Jimenez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Geofuturo S.A.S. E.S.P.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Leal Colombia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Digident Cordialidad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Inverburger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Beagle Group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Elepha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Coaspharma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Grupo Empresarial Inspira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Ele de Colombia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Distritornillos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Lentesplus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Ecosembrar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Tower One Wireless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Summa Suministros Industriales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Systems And Communications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Grupo Quincena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T4 Colombia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Sac Logistica Avanzada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Ventur Group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Red De Accesorioos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Inversiones Y Construcciones Andamas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Recology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Trading Solutions Company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Alife Health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Servisepticos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Time Jobs Colombia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Robinfood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Genersa S.A.S. E.S.P.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Sistemas Energeticos Alternativos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$300.000.000</w:t>
            </w:r>
          </w:p>
        </w:tc>
      </w:tr>
      <w:tr>
        <w:trPr>
          <w:cantSplit w:val="0"/>
          <w:trHeight w:val="54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Industrias Alimenticias Mister Tru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Mascotas Bichos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$450.000.000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American Global Company 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$200.000.000</w:t>
            </w:r>
          </w:p>
        </w:tc>
      </w:tr>
    </w:tbl>
    <w:p w:rsidR="00000000" w:rsidDel="00000000" w:rsidP="00000000" w:rsidRDefault="00000000" w:rsidRPr="00000000" w14:paraId="000000DB">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C">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b w:val="1"/>
          <w:i w:val="0"/>
          <w:smallCaps w:val="0"/>
          <w:strike w:val="0"/>
          <w:color w:val="1c4587"/>
          <w:sz w:val="14"/>
          <w:szCs w:val="14"/>
          <w:u w:val="none"/>
          <w:shd w:fill="auto" w:val="clear"/>
          <w:vertAlign w:val="baseline"/>
        </w:rPr>
      </w:pPr>
      <w:r w:rsidDel="00000000" w:rsidR="00000000" w:rsidRPr="00000000">
        <w:rPr>
          <w:rFonts w:ascii="Tahoma" w:cs="Tahoma" w:eastAsia="Tahoma" w:hAnsi="Tahoma"/>
          <w:b w:val="1"/>
          <w:i w:val="0"/>
          <w:smallCaps w:val="0"/>
          <w:strike w:val="0"/>
          <w:color w:val="1c4587"/>
          <w:sz w:val="14"/>
          <w:szCs w:val="14"/>
          <w:u w:val="none"/>
          <w:shd w:fill="auto" w:val="clear"/>
          <w:vertAlign w:val="baseline"/>
          <w:rtl w:val="0"/>
        </w:rPr>
        <w:t xml:space="preserve">Acerca de bvc:</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4"/>
          <w:szCs w:val="14"/>
        </w:rPr>
      </w:pPr>
      <w:r w:rsidDel="00000000" w:rsidR="00000000" w:rsidRPr="00000000">
        <w:rPr>
          <w:rFonts w:ascii="Tahoma" w:cs="Tahoma" w:eastAsia="Tahoma" w:hAnsi="Tahoma"/>
          <w:color w:val="1c4587"/>
          <w:sz w:val="14"/>
          <w:szCs w:val="14"/>
          <w:rtl w:val="0"/>
        </w:rPr>
        <w:t xml:space="preserve">La Bolsa de Valores de Colombia (bvc) es el operador líder de la infraestructura del mercado de capitales colombiano con presencia en toda la cadena de valor. bvc ofrece soluciones y servicios de Emisores (servicios al emisor y emisiones), Negociación (acceso, transaccional y registro), Post-negociación (administración de riesgos, compensación, liquidación, custodia y administración de valores) e Información (Información de mercado y proveeduría de precios) en los mercados transaccionales y OTC de renta variable, renta fija, derivados y divisas.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tl w:val="0"/>
        </w:rPr>
      </w:r>
    </w:p>
    <w:tbl>
      <w:tblPr>
        <w:tblStyle w:val="Table2"/>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gridSpan w:val="2"/>
          </w:tcPr>
          <w:p w:rsidR="00000000" w:rsidDel="00000000" w:rsidP="00000000" w:rsidRDefault="00000000" w:rsidRPr="00000000" w14:paraId="000000E0">
            <w:pPr>
              <w:pageBreakBefore w:val="0"/>
              <w:jc w:val="both"/>
              <w:rPr>
                <w:rFonts w:ascii="Tahoma" w:cs="Tahoma" w:eastAsia="Tahoma" w:hAnsi="Tahoma"/>
                <w:b w:val="1"/>
                <w:color w:val="1c4587"/>
                <w:sz w:val="18"/>
                <w:szCs w:val="18"/>
              </w:rPr>
            </w:pPr>
            <w:r w:rsidDel="00000000" w:rsidR="00000000" w:rsidRPr="00000000">
              <w:rPr>
                <w:rFonts w:ascii="Tahoma" w:cs="Tahoma" w:eastAsia="Tahoma" w:hAnsi="Tahoma"/>
                <w:b w:val="1"/>
                <w:color w:val="1c4587"/>
                <w:sz w:val="18"/>
                <w:szCs w:val="18"/>
                <w:rtl w:val="0"/>
              </w:rPr>
              <w:t xml:space="preserve">Contacts: </w:t>
            </w:r>
          </w:p>
          <w:p w:rsidR="00000000" w:rsidDel="00000000" w:rsidP="00000000" w:rsidRDefault="00000000" w:rsidRPr="00000000" w14:paraId="000000E1">
            <w:pPr>
              <w:pageBreakBefore w:val="0"/>
              <w:jc w:val="both"/>
              <w:rPr>
                <w:rFonts w:ascii="Tahoma" w:cs="Tahoma" w:eastAsia="Tahoma" w:hAnsi="Tahoma"/>
                <w:color w:val="1c4587"/>
                <w:sz w:val="18"/>
                <w:szCs w:val="18"/>
              </w:rPr>
            </w:pPr>
            <w:r w:rsidDel="00000000" w:rsidR="00000000" w:rsidRPr="00000000">
              <w:rPr>
                <w:rtl w:val="0"/>
              </w:rPr>
            </w:r>
          </w:p>
          <w:p w:rsidR="00000000" w:rsidDel="00000000" w:rsidP="00000000" w:rsidRDefault="00000000" w:rsidRPr="00000000" w14:paraId="000000E2">
            <w:pPr>
              <w:pageBreakBefore w:val="0"/>
              <w:jc w:val="both"/>
              <w:rPr>
                <w:rFonts w:ascii="Tahoma" w:cs="Tahoma" w:eastAsia="Tahoma" w:hAnsi="Tahoma"/>
                <w:color w:val="1c4587"/>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Jaime Sarmiento</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Medios y Relaciones Públicas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7246</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6">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comunicaciones@bvc.com.co</w:t>
              </w:r>
            </w:hyperlink>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Carlos Barrios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Relación con Inversionistas y Sostenibilidad</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7167</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7">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cbarrios@bvc.com.co</w:t>
              </w:r>
            </w:hyperlink>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p>
        </w:tc>
      </w:tr>
    </w:tbl>
    <w:p w:rsidR="00000000" w:rsidDel="00000000" w:rsidP="00000000" w:rsidRDefault="00000000" w:rsidRPr="00000000" w14:paraId="000000EC">
      <w:pPr>
        <w:pageBreakBefore w:val="0"/>
        <w:jc w:val="both"/>
        <w:rPr>
          <w:rFonts w:ascii="Tahoma" w:cs="Tahoma" w:eastAsia="Tahoma" w:hAnsi="Tahoma"/>
          <w:color w:val="1c458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361950</wp:posOffset>
            </wp:positionV>
            <wp:extent cx="6180773" cy="115341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80773" cy="1153410"/>
                    </a:xfrm>
                    <a:prstGeom prst="rect"/>
                    <a:ln/>
                  </pic:spPr>
                </pic:pic>
              </a:graphicData>
            </a:graphic>
          </wp:anchor>
        </w:drawing>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09" w:top="170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-1085849</wp:posOffset>
          </wp:positionH>
          <wp:positionV relativeFrom="paragraph">
            <wp:posOffset>-333374</wp:posOffset>
          </wp:positionV>
          <wp:extent cx="7478100" cy="107918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78100" cy="107918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municaciones@bvc.com.co" TargetMode="External"/><Relationship Id="rId7" Type="http://schemas.openxmlformats.org/officeDocument/2006/relationships/hyperlink" Target="mailto:cbarrios@bvc.com.co"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