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6495" w14:textId="66434228" w:rsidR="00FA03EE" w:rsidRPr="00C67759" w:rsidRDefault="00B424CF" w:rsidP="00FA03EE">
      <w:pPr>
        <w:widowControl/>
        <w:pBdr>
          <w:top w:val="nil"/>
          <w:left w:val="nil"/>
          <w:bottom w:val="nil"/>
          <w:right w:val="nil"/>
          <w:between w:val="nil"/>
        </w:pBdr>
        <w:spacing w:after="280"/>
        <w:ind w:right="0"/>
        <w:rPr>
          <w:rFonts w:ascii="Arial" w:eastAsia="BBVABentonSans" w:hAnsi="Arial" w:cs="Arial"/>
          <w:color w:val="17365D" w:themeColor="text2" w:themeShade="BF"/>
          <w:sz w:val="32"/>
          <w:szCs w:val="48"/>
          <w:highlight w:val="white"/>
        </w:rPr>
      </w:pPr>
      <w:bookmarkStart w:id="0" w:name="_GoBack"/>
      <w:bookmarkEnd w:id="0"/>
      <w:r>
        <w:rPr>
          <w:rFonts w:ascii="Arial" w:eastAsia="BBVABentonSans" w:hAnsi="Arial" w:cs="Arial"/>
          <w:color w:val="17365D" w:themeColor="text2" w:themeShade="BF"/>
          <w:sz w:val="32"/>
          <w:szCs w:val="48"/>
          <w:highlight w:val="white"/>
        </w:rPr>
        <w:t>La entidad financiera obtuvo 89 puntos de 100 posibles</w:t>
      </w:r>
    </w:p>
    <w:p w14:paraId="2862A5F4" w14:textId="77777777" w:rsidR="002C2EEC" w:rsidRDefault="002C2EEC" w:rsidP="002C2EEC">
      <w:pPr>
        <w:widowControl/>
        <w:pBdr>
          <w:top w:val="nil"/>
          <w:left w:val="nil"/>
          <w:bottom w:val="nil"/>
          <w:right w:val="nil"/>
          <w:between w:val="nil"/>
        </w:pBdr>
        <w:spacing w:after="280"/>
        <w:ind w:right="0"/>
        <w:jc w:val="both"/>
        <w:rPr>
          <w:rFonts w:ascii="Arial" w:eastAsia="BBVABentonSans" w:hAnsi="Arial" w:cs="Arial"/>
          <w:color w:val="02A5A5"/>
          <w:sz w:val="48"/>
          <w:szCs w:val="48"/>
        </w:rPr>
      </w:pPr>
      <w:r w:rsidRPr="002C2EEC">
        <w:rPr>
          <w:rFonts w:ascii="Arial" w:eastAsia="BBVABentonSans" w:hAnsi="Arial" w:cs="Arial"/>
          <w:color w:val="02A5A5"/>
          <w:sz w:val="48"/>
          <w:szCs w:val="48"/>
        </w:rPr>
        <w:t xml:space="preserve">BBVA asciende a la primera posición entre los bancos en el Dow Jones </w:t>
      </w:r>
      <w:proofErr w:type="spellStart"/>
      <w:r w:rsidRPr="002C2EEC">
        <w:rPr>
          <w:rFonts w:ascii="Arial" w:eastAsia="BBVABentonSans" w:hAnsi="Arial" w:cs="Arial"/>
          <w:color w:val="02A5A5"/>
          <w:sz w:val="48"/>
          <w:szCs w:val="48"/>
        </w:rPr>
        <w:t>Sustainability</w:t>
      </w:r>
      <w:proofErr w:type="spellEnd"/>
      <w:r w:rsidRPr="002C2EEC">
        <w:rPr>
          <w:rFonts w:ascii="Arial" w:eastAsia="BBVABentonSans" w:hAnsi="Arial" w:cs="Arial"/>
          <w:color w:val="02A5A5"/>
          <w:sz w:val="48"/>
          <w:szCs w:val="48"/>
        </w:rPr>
        <w:t xml:space="preserve"> </w:t>
      </w:r>
      <w:proofErr w:type="spellStart"/>
      <w:r w:rsidRPr="002C2EEC">
        <w:rPr>
          <w:rFonts w:ascii="Arial" w:eastAsia="BBVABentonSans" w:hAnsi="Arial" w:cs="Arial"/>
          <w:color w:val="02A5A5"/>
          <w:sz w:val="48"/>
          <w:szCs w:val="48"/>
        </w:rPr>
        <w:t>Index</w:t>
      </w:r>
      <w:proofErr w:type="spellEnd"/>
    </w:p>
    <w:p w14:paraId="57A38CD5" w14:textId="50200B38" w:rsidR="00FA03EE" w:rsidRPr="00C67759" w:rsidRDefault="00965895" w:rsidP="00965895">
      <w:pPr>
        <w:widowControl/>
        <w:numPr>
          <w:ilvl w:val="0"/>
          <w:numId w:val="1"/>
        </w:numPr>
        <w:pBdr>
          <w:top w:val="nil"/>
          <w:left w:val="nil"/>
          <w:bottom w:val="nil"/>
          <w:right w:val="nil"/>
          <w:between w:val="nil"/>
        </w:pBdr>
        <w:shd w:val="clear" w:color="auto" w:fill="FFFFFF"/>
        <w:spacing w:after="280"/>
        <w:ind w:right="0"/>
        <w:jc w:val="both"/>
        <w:rPr>
          <w:rFonts w:ascii="Arial" w:hAnsi="Arial" w:cs="Arial"/>
        </w:rPr>
      </w:pPr>
      <w:r>
        <w:rPr>
          <w:rFonts w:ascii="Arial" w:eastAsia="BBVABentonSans" w:hAnsi="Arial" w:cs="Arial"/>
          <w:b/>
          <w:color w:val="02A5A5"/>
        </w:rPr>
        <w:t>“</w:t>
      </w:r>
      <w:r w:rsidRPr="00965895">
        <w:rPr>
          <w:rFonts w:ascii="Arial" w:eastAsia="BBVABentonSans" w:hAnsi="Arial" w:cs="Arial"/>
          <w:b/>
          <w:color w:val="02A5A5"/>
        </w:rPr>
        <w:t>Este reconocimiento confirma el éxito de nuestra estrategia en sostenibilidad y nos anima a seguir trabajando con el objetivo de acompañar a nuestros clientes</w:t>
      </w:r>
      <w:r>
        <w:rPr>
          <w:rFonts w:ascii="Arial" w:eastAsia="BBVABentonSans" w:hAnsi="Arial" w:cs="Arial"/>
          <w:b/>
          <w:color w:val="02A5A5"/>
        </w:rPr>
        <w:t xml:space="preserve">”, </w:t>
      </w:r>
      <w:r w:rsidRPr="00965895">
        <w:rPr>
          <w:rFonts w:ascii="Arial" w:eastAsia="BBVABentonSans" w:hAnsi="Arial" w:cs="Arial"/>
          <w:color w:val="auto"/>
        </w:rPr>
        <w:t>dijo el responsable global de Sostenibilidad de BBVA, Javier Rodríguez Soler.</w:t>
      </w:r>
      <w:r w:rsidR="00FA03EE" w:rsidRPr="00C67759">
        <w:rPr>
          <w:rFonts w:ascii="Arial" w:eastAsia="BBVABentonSans" w:hAnsi="Arial" w:cs="Arial"/>
          <w:b/>
          <w:color w:val="02A5A5"/>
        </w:rPr>
        <w:t xml:space="preserve"> </w:t>
      </w:r>
    </w:p>
    <w:p w14:paraId="6C8D6676" w14:textId="0D6C94F7" w:rsidR="002C4912" w:rsidRPr="00BE3632" w:rsidRDefault="00BE3632" w:rsidP="00BE3632">
      <w:pPr>
        <w:widowControl/>
        <w:numPr>
          <w:ilvl w:val="0"/>
          <w:numId w:val="1"/>
        </w:numPr>
        <w:pBdr>
          <w:top w:val="nil"/>
          <w:left w:val="nil"/>
          <w:bottom w:val="nil"/>
          <w:right w:val="nil"/>
          <w:between w:val="nil"/>
        </w:pBdr>
        <w:spacing w:after="280"/>
        <w:ind w:right="0"/>
        <w:jc w:val="both"/>
        <w:rPr>
          <w:rFonts w:ascii="Arial" w:hAnsi="Arial" w:cs="Arial"/>
          <w:color w:val="auto"/>
        </w:rPr>
      </w:pPr>
      <w:r>
        <w:rPr>
          <w:rFonts w:ascii="Arial" w:eastAsia="BBVABentonSans" w:hAnsi="Arial" w:cs="Arial"/>
          <w:b/>
          <w:color w:val="02A5A5"/>
        </w:rPr>
        <w:t>La puntuación ESG (</w:t>
      </w:r>
      <w:proofErr w:type="spellStart"/>
      <w:r w:rsidRPr="00BE3632">
        <w:rPr>
          <w:rFonts w:ascii="Arial" w:eastAsia="BBVABentonSans" w:hAnsi="Arial" w:cs="Arial"/>
          <w:b/>
          <w:color w:val="02A5A5"/>
        </w:rPr>
        <w:t>En</w:t>
      </w:r>
      <w:r>
        <w:rPr>
          <w:rFonts w:ascii="Arial" w:eastAsia="BBVABentonSans" w:hAnsi="Arial" w:cs="Arial"/>
          <w:b/>
          <w:color w:val="02A5A5"/>
        </w:rPr>
        <w:t>vironmental</w:t>
      </w:r>
      <w:proofErr w:type="spellEnd"/>
      <w:r>
        <w:rPr>
          <w:rFonts w:ascii="Arial" w:eastAsia="BBVABentonSans" w:hAnsi="Arial" w:cs="Arial"/>
          <w:b/>
          <w:color w:val="02A5A5"/>
        </w:rPr>
        <w:t xml:space="preserve">, Social, </w:t>
      </w:r>
      <w:proofErr w:type="spellStart"/>
      <w:r>
        <w:rPr>
          <w:rFonts w:ascii="Arial" w:eastAsia="BBVABentonSans" w:hAnsi="Arial" w:cs="Arial"/>
          <w:b/>
          <w:color w:val="02A5A5"/>
        </w:rPr>
        <w:t>Governance</w:t>
      </w:r>
      <w:proofErr w:type="spellEnd"/>
      <w:r>
        <w:rPr>
          <w:rFonts w:ascii="Arial" w:eastAsia="BBVABentonSans" w:hAnsi="Arial" w:cs="Arial"/>
          <w:b/>
          <w:color w:val="02A5A5"/>
        </w:rPr>
        <w:t>)</w:t>
      </w:r>
      <w:r w:rsidRPr="00BE3632">
        <w:rPr>
          <w:rFonts w:ascii="Arial" w:eastAsia="BBVABentonSans" w:hAnsi="Arial" w:cs="Arial"/>
          <w:b/>
          <w:color w:val="02A5A5"/>
        </w:rPr>
        <w:t xml:space="preserve"> de BBVA </w:t>
      </w:r>
      <w:r>
        <w:rPr>
          <w:rFonts w:ascii="Arial" w:eastAsia="BBVABentonSans" w:hAnsi="Arial" w:cs="Arial"/>
          <w:b/>
          <w:color w:val="02A5A5"/>
        </w:rPr>
        <w:t>fue</w:t>
      </w:r>
      <w:r w:rsidRPr="00BE3632">
        <w:rPr>
          <w:rFonts w:ascii="Arial" w:eastAsia="BBVABentonSans" w:hAnsi="Arial" w:cs="Arial"/>
          <w:b/>
          <w:color w:val="02A5A5"/>
        </w:rPr>
        <w:t xml:space="preserve"> actualizada</w:t>
      </w:r>
      <w:r w:rsidRPr="00BE3632">
        <w:rPr>
          <w:rFonts w:ascii="Arial" w:eastAsia="BBVABentonSans" w:hAnsi="Arial" w:cs="Arial"/>
          <w:color w:val="auto"/>
        </w:rPr>
        <w:t xml:space="preserve"> por S&amp;P Global con fecha 21 de enero de 2022</w:t>
      </w:r>
      <w:r>
        <w:rPr>
          <w:rFonts w:ascii="Arial" w:eastAsia="BBVABentonSans" w:hAnsi="Arial" w:cs="Arial"/>
          <w:color w:val="auto"/>
        </w:rPr>
        <w:t>.</w:t>
      </w:r>
    </w:p>
    <w:p w14:paraId="3D4DDE82" w14:textId="6E6E01DA" w:rsidR="00B424CF" w:rsidRPr="00C67759" w:rsidRDefault="00BE3632" w:rsidP="00BE3632">
      <w:pPr>
        <w:widowControl/>
        <w:numPr>
          <w:ilvl w:val="0"/>
          <w:numId w:val="1"/>
        </w:numPr>
        <w:pBdr>
          <w:top w:val="nil"/>
          <w:left w:val="nil"/>
          <w:bottom w:val="nil"/>
          <w:right w:val="nil"/>
          <w:between w:val="nil"/>
        </w:pBdr>
        <w:spacing w:after="280"/>
        <w:ind w:right="0"/>
        <w:jc w:val="both"/>
        <w:rPr>
          <w:rFonts w:ascii="Arial" w:hAnsi="Arial" w:cs="Arial"/>
          <w:b/>
        </w:rPr>
      </w:pPr>
      <w:r w:rsidRPr="00BE3632">
        <w:rPr>
          <w:rFonts w:ascii="Arial" w:eastAsia="BBVABentonSans" w:hAnsi="Arial" w:cs="Arial"/>
          <w:b/>
          <w:color w:val="02A5A5"/>
        </w:rPr>
        <w:t xml:space="preserve">BBVA </w:t>
      </w:r>
      <w:r>
        <w:rPr>
          <w:rFonts w:ascii="Arial" w:eastAsia="BBVABentonSans" w:hAnsi="Arial" w:cs="Arial"/>
          <w:b/>
          <w:color w:val="02A5A5"/>
        </w:rPr>
        <w:t>obtuvo</w:t>
      </w:r>
      <w:r w:rsidRPr="00BE3632">
        <w:rPr>
          <w:rFonts w:ascii="Arial" w:eastAsia="BBVABentonSans" w:hAnsi="Arial" w:cs="Arial"/>
          <w:b/>
          <w:color w:val="02A5A5"/>
        </w:rPr>
        <w:t xml:space="preserve"> la distinción Oro dentro de la industria bancaria en el Anuario de </w:t>
      </w:r>
      <w:r w:rsidR="003B343F" w:rsidRPr="00BE3632">
        <w:rPr>
          <w:rFonts w:ascii="Arial" w:eastAsia="BBVABentonSans" w:hAnsi="Arial" w:cs="Arial"/>
          <w:b/>
          <w:color w:val="02A5A5"/>
        </w:rPr>
        <w:t>Sostenibilidad</w:t>
      </w:r>
      <w:r w:rsidRPr="00BE3632">
        <w:rPr>
          <w:rFonts w:ascii="Arial" w:eastAsia="BBVABentonSans" w:hAnsi="Arial" w:cs="Arial"/>
          <w:b/>
          <w:color w:val="02A5A5"/>
        </w:rPr>
        <w:t xml:space="preserve"> 2022 hecho público hoy por S&amp;P Global</w:t>
      </w:r>
      <w:r>
        <w:rPr>
          <w:rFonts w:ascii="Arial" w:eastAsia="BBVABentonSans" w:hAnsi="Arial" w:cs="Arial"/>
          <w:b/>
          <w:color w:val="02A5A5"/>
        </w:rPr>
        <w:t>.</w:t>
      </w:r>
      <w:r w:rsidRPr="00BE3632">
        <w:rPr>
          <w:rFonts w:ascii="Arial" w:eastAsia="BBVABentonSans" w:hAnsi="Arial" w:cs="Arial"/>
          <w:b/>
          <w:color w:val="02A5A5"/>
        </w:rPr>
        <w:t xml:space="preserve"> </w:t>
      </w:r>
    </w:p>
    <w:p w14:paraId="0C96BC41" w14:textId="5DE630D9" w:rsidR="002C2EEC" w:rsidRDefault="00B424CF" w:rsidP="009236DD">
      <w:pPr>
        <w:widowControl/>
        <w:spacing w:after="280"/>
        <w:ind w:right="0"/>
        <w:jc w:val="both"/>
        <w:rPr>
          <w:rFonts w:ascii="Arial" w:hAnsi="Arial" w:cs="Arial"/>
          <w:color w:val="000000"/>
        </w:rPr>
      </w:pPr>
      <w:bookmarkStart w:id="1" w:name="_gjdgxs" w:colFirst="0" w:colLast="0"/>
      <w:bookmarkEnd w:id="1"/>
      <w:r>
        <w:rPr>
          <w:rFonts w:ascii="Arial" w:hAnsi="Arial" w:cs="Arial"/>
          <w:color w:val="000000"/>
        </w:rPr>
        <w:t xml:space="preserve">BBVA ascendió </w:t>
      </w:r>
      <w:r w:rsidR="002C2EEC" w:rsidRPr="002C2EEC">
        <w:rPr>
          <w:rFonts w:ascii="Arial" w:hAnsi="Arial" w:cs="Arial"/>
          <w:color w:val="000000"/>
        </w:rPr>
        <w:t xml:space="preserve">una posición en el Dow Jones </w:t>
      </w:r>
      <w:proofErr w:type="spellStart"/>
      <w:r w:rsidR="002C2EEC" w:rsidRPr="002C2EEC">
        <w:rPr>
          <w:rFonts w:ascii="Arial" w:hAnsi="Arial" w:cs="Arial"/>
          <w:color w:val="000000"/>
        </w:rPr>
        <w:t>Sustainability</w:t>
      </w:r>
      <w:proofErr w:type="spellEnd"/>
      <w:r w:rsidR="002C2EEC" w:rsidRPr="002C2EEC">
        <w:rPr>
          <w:rFonts w:ascii="Arial" w:hAnsi="Arial" w:cs="Arial"/>
          <w:color w:val="000000"/>
        </w:rPr>
        <w:t xml:space="preserve"> </w:t>
      </w:r>
      <w:proofErr w:type="spellStart"/>
      <w:r w:rsidR="002C2EEC" w:rsidRPr="002C2EEC">
        <w:rPr>
          <w:rFonts w:ascii="Arial" w:hAnsi="Arial" w:cs="Arial"/>
          <w:color w:val="000000"/>
        </w:rPr>
        <w:t>Index</w:t>
      </w:r>
      <w:proofErr w:type="spellEnd"/>
      <w:r w:rsidR="002C2EEC" w:rsidRPr="002C2EEC">
        <w:rPr>
          <w:rFonts w:ascii="Arial" w:hAnsi="Arial" w:cs="Arial"/>
          <w:color w:val="000000"/>
        </w:rPr>
        <w:t xml:space="preserve"> (DJSI) y se convierte así en el banco más sostenible del mundo, junto a la entidad surcoreana KB </w:t>
      </w:r>
      <w:proofErr w:type="spellStart"/>
      <w:r w:rsidR="002C2EEC" w:rsidRPr="002C2EEC">
        <w:rPr>
          <w:rFonts w:ascii="Arial" w:hAnsi="Arial" w:cs="Arial"/>
          <w:color w:val="000000"/>
        </w:rPr>
        <w:t>Financial</w:t>
      </w:r>
      <w:proofErr w:type="spellEnd"/>
      <w:r w:rsidR="002C2EEC" w:rsidRPr="002C2EEC">
        <w:rPr>
          <w:rFonts w:ascii="Arial" w:hAnsi="Arial" w:cs="Arial"/>
          <w:color w:val="000000"/>
        </w:rPr>
        <w:t xml:space="preserve"> </w:t>
      </w:r>
      <w:proofErr w:type="spellStart"/>
      <w:r w:rsidR="002C2EEC" w:rsidRPr="002C2EEC">
        <w:rPr>
          <w:rFonts w:ascii="Arial" w:hAnsi="Arial" w:cs="Arial"/>
          <w:color w:val="000000"/>
        </w:rPr>
        <w:t>Group</w:t>
      </w:r>
      <w:proofErr w:type="spellEnd"/>
      <w:r w:rsidR="002C2EEC" w:rsidRPr="002C2EEC">
        <w:rPr>
          <w:rFonts w:ascii="Arial" w:hAnsi="Arial" w:cs="Arial"/>
          <w:color w:val="000000"/>
        </w:rPr>
        <w:t xml:space="preserve">. Ambos obtienen la máxima puntuación dentro de la categoría de bancos a nivel global. Es la primera vez que BBVA alcanza el puesto más alto en este ranking de referencia internacional, después de ocupar la segunda plaza mundial y la primera de Europa en los dos últimos años. </w:t>
      </w:r>
    </w:p>
    <w:p w14:paraId="66BEA7EC" w14:textId="77777777" w:rsidR="00B424CF" w:rsidRDefault="00B424CF" w:rsidP="009236DD">
      <w:pPr>
        <w:widowControl/>
        <w:spacing w:after="280"/>
        <w:ind w:right="0"/>
        <w:jc w:val="both"/>
        <w:rPr>
          <w:rFonts w:ascii="Arial" w:hAnsi="Arial" w:cs="Arial"/>
          <w:color w:val="808080" w:themeColor="background1" w:themeShade="80"/>
        </w:rPr>
      </w:pPr>
      <w:r w:rsidRPr="00B424CF">
        <w:rPr>
          <w:rFonts w:ascii="Arial" w:hAnsi="Arial" w:cs="Arial"/>
          <w:color w:val="808080" w:themeColor="background1" w:themeShade="80"/>
        </w:rPr>
        <w:t xml:space="preserve">“La sostenibilidad es una prioridad estratégica para BBVA. Ahora, el Dow Jones </w:t>
      </w:r>
      <w:proofErr w:type="spellStart"/>
      <w:r w:rsidRPr="00B424CF">
        <w:rPr>
          <w:rFonts w:ascii="Arial" w:hAnsi="Arial" w:cs="Arial"/>
          <w:color w:val="808080" w:themeColor="background1" w:themeShade="80"/>
        </w:rPr>
        <w:t>Sustainability</w:t>
      </w:r>
      <w:proofErr w:type="spellEnd"/>
      <w:r w:rsidRPr="00B424CF">
        <w:rPr>
          <w:rFonts w:ascii="Arial" w:hAnsi="Arial" w:cs="Arial"/>
          <w:color w:val="808080" w:themeColor="background1" w:themeShade="80"/>
        </w:rPr>
        <w:t xml:space="preserve"> </w:t>
      </w:r>
      <w:proofErr w:type="spellStart"/>
      <w:r w:rsidRPr="00B424CF">
        <w:rPr>
          <w:rFonts w:ascii="Arial" w:hAnsi="Arial" w:cs="Arial"/>
          <w:color w:val="808080" w:themeColor="background1" w:themeShade="80"/>
        </w:rPr>
        <w:t>Index</w:t>
      </w:r>
      <w:proofErr w:type="spellEnd"/>
      <w:r w:rsidRPr="00B424CF">
        <w:rPr>
          <w:rFonts w:ascii="Arial" w:hAnsi="Arial" w:cs="Arial"/>
          <w:color w:val="808080" w:themeColor="background1" w:themeShade="80"/>
        </w:rPr>
        <w:t xml:space="preserve"> reconoce nuestro liderazgo otorgándonos la máxima puntuación del sector en su índice global. Este reconocimiento confirma el éxito de nuestra estrategia en sostenibilidad y nos anima a seguir trabajando con el objetivo de acompañar a nuestros clientes y a la sociedad en su conjunto hacia un futuro más sostenible e inclusivo”, ha manifestado el responsable global de Sostenibilidad de BBVA, Javier Rodríguez Soler.</w:t>
      </w:r>
    </w:p>
    <w:p w14:paraId="73643A4D" w14:textId="1BD3C856" w:rsidR="00B424CF" w:rsidRPr="00B424CF" w:rsidRDefault="00B424CF" w:rsidP="00B424CF">
      <w:pPr>
        <w:widowControl/>
        <w:spacing w:after="280"/>
        <w:ind w:right="0"/>
        <w:jc w:val="both"/>
        <w:rPr>
          <w:rFonts w:ascii="Arial" w:hAnsi="Arial" w:cs="Arial"/>
          <w:color w:val="808080"/>
          <w:shd w:val="clear" w:color="auto" w:fill="FFFFFF"/>
        </w:rPr>
      </w:pPr>
      <w:r>
        <w:rPr>
          <w:rFonts w:ascii="Arial" w:hAnsi="Arial" w:cs="Arial"/>
          <w:color w:val="808080"/>
          <w:shd w:val="clear" w:color="auto" w:fill="FFFFFF"/>
        </w:rPr>
        <w:t>Según la a</w:t>
      </w:r>
      <w:r w:rsidRPr="00B424CF">
        <w:rPr>
          <w:rFonts w:ascii="Arial" w:hAnsi="Arial" w:cs="Arial"/>
          <w:color w:val="808080"/>
          <w:shd w:val="clear" w:color="auto" w:fill="FFFFFF"/>
        </w:rPr>
        <w:t>gencia calificadora del DJS</w:t>
      </w:r>
      <w:r>
        <w:rPr>
          <w:rFonts w:ascii="Arial" w:hAnsi="Arial" w:cs="Arial"/>
          <w:color w:val="808080"/>
          <w:shd w:val="clear" w:color="auto" w:fill="FFFFFF"/>
        </w:rPr>
        <w:t>I,</w:t>
      </w:r>
      <w:r w:rsidRPr="00B424CF">
        <w:rPr>
          <w:rFonts w:ascii="Arial" w:hAnsi="Arial" w:cs="Arial"/>
          <w:color w:val="808080"/>
          <w:shd w:val="clear" w:color="auto" w:fill="FFFFFF"/>
        </w:rPr>
        <w:t xml:space="preserve"> </w:t>
      </w:r>
      <w:r>
        <w:rPr>
          <w:rFonts w:ascii="Arial" w:hAnsi="Arial" w:cs="Arial"/>
          <w:color w:val="808080"/>
          <w:shd w:val="clear" w:color="auto" w:fill="FFFFFF"/>
        </w:rPr>
        <w:t>“l</w:t>
      </w:r>
      <w:r w:rsidRPr="00B424CF">
        <w:rPr>
          <w:rFonts w:ascii="Arial" w:hAnsi="Arial" w:cs="Arial"/>
          <w:color w:val="808080"/>
          <w:shd w:val="clear" w:color="auto" w:fill="FFFFFF"/>
        </w:rPr>
        <w:t>a puntuación ESG [</w:t>
      </w:r>
      <w:proofErr w:type="spellStart"/>
      <w:r w:rsidRPr="00B424CF">
        <w:rPr>
          <w:rFonts w:ascii="Arial" w:hAnsi="Arial" w:cs="Arial"/>
          <w:color w:val="808080"/>
          <w:shd w:val="clear" w:color="auto" w:fill="FFFFFF"/>
        </w:rPr>
        <w:t>Environmental</w:t>
      </w:r>
      <w:proofErr w:type="spellEnd"/>
      <w:r w:rsidRPr="00B424CF">
        <w:rPr>
          <w:rFonts w:ascii="Arial" w:hAnsi="Arial" w:cs="Arial"/>
          <w:color w:val="808080"/>
          <w:shd w:val="clear" w:color="auto" w:fill="FFFFFF"/>
        </w:rPr>
        <w:t xml:space="preserve">, Social, </w:t>
      </w:r>
      <w:proofErr w:type="spellStart"/>
      <w:r w:rsidRPr="00B424CF">
        <w:rPr>
          <w:rFonts w:ascii="Arial" w:hAnsi="Arial" w:cs="Arial"/>
          <w:color w:val="808080"/>
          <w:shd w:val="clear" w:color="auto" w:fill="FFFFFF"/>
        </w:rPr>
        <w:t>Governance</w:t>
      </w:r>
      <w:proofErr w:type="spellEnd"/>
      <w:r w:rsidRPr="00B424CF">
        <w:rPr>
          <w:rFonts w:ascii="Arial" w:hAnsi="Arial" w:cs="Arial"/>
          <w:color w:val="808080"/>
          <w:shd w:val="clear" w:color="auto" w:fill="FFFFFF"/>
        </w:rPr>
        <w:t>] de BBVA ha sido actualizada por S&amp;P Global con fecha 21 de enero de 2022, después del anuncio inicial de puntuaciones hecho público el 12 de noviembre de 2021, conforme a las políticas y procesos de revaluación de S&amp;P Global”</w:t>
      </w:r>
      <w:r>
        <w:rPr>
          <w:rFonts w:ascii="Arial" w:hAnsi="Arial" w:cs="Arial"/>
          <w:color w:val="808080"/>
          <w:shd w:val="clear" w:color="auto" w:fill="FFFFFF"/>
        </w:rPr>
        <w:t>.</w:t>
      </w:r>
    </w:p>
    <w:p w14:paraId="76A3F497" w14:textId="13D896C3" w:rsidR="00B424CF" w:rsidRPr="00B424CF" w:rsidRDefault="00B424CF" w:rsidP="00B424CF">
      <w:pPr>
        <w:widowControl/>
        <w:spacing w:after="280"/>
        <w:ind w:right="0"/>
        <w:jc w:val="both"/>
        <w:rPr>
          <w:rFonts w:ascii="Arial" w:hAnsi="Arial" w:cs="Arial"/>
          <w:color w:val="808080"/>
          <w:shd w:val="clear" w:color="auto" w:fill="FFFFFF"/>
        </w:rPr>
      </w:pPr>
      <w:r w:rsidRPr="00B424CF">
        <w:rPr>
          <w:rFonts w:ascii="Arial" w:hAnsi="Arial" w:cs="Arial"/>
          <w:color w:val="808080"/>
          <w:shd w:val="clear" w:color="auto" w:fill="FFFFFF"/>
        </w:rPr>
        <w:t>BBVA, que tenía 88 puntos (de un máximo posible de 100) en la clasificación global del índice, ha logrado 89 puntos, después de que S&amp;P Global volviera a evaluar la respuesta aportada por el banco, en concreto, en el apartado de estrategia fiscal, donde ha obtenido 100 puntos. BBVA ya había logrado la máxima puntuación en inclusión financiera; información medioambiental y social; desarrollo del capital humano; y materialidad. En cuanto a las tres grandes dimensiones evaluadas, BBVA obtiene 86 puntos en la económica y de gobierno corporativo; 94 puntos en la ambiental; y 92 en la social.</w:t>
      </w:r>
    </w:p>
    <w:p w14:paraId="339D6629" w14:textId="771C643E" w:rsidR="009236DD" w:rsidRDefault="00B424CF" w:rsidP="00B424CF">
      <w:pPr>
        <w:widowControl/>
        <w:spacing w:after="280"/>
        <w:ind w:right="0"/>
        <w:jc w:val="both"/>
        <w:rPr>
          <w:rFonts w:ascii="Arial" w:hAnsi="Arial" w:cs="Arial"/>
          <w:color w:val="808080"/>
          <w:shd w:val="clear" w:color="auto" w:fill="FFFFFF"/>
        </w:rPr>
      </w:pPr>
      <w:r w:rsidRPr="00B424CF">
        <w:rPr>
          <w:rFonts w:ascii="Arial" w:hAnsi="Arial" w:cs="Arial"/>
          <w:color w:val="808080"/>
          <w:shd w:val="clear" w:color="auto" w:fill="FFFFFF"/>
        </w:rPr>
        <w:lastRenderedPageBreak/>
        <w:t xml:space="preserve">En total, sólo 24 bancos aparecen incluidos en la última edición del DJSI </w:t>
      </w:r>
      <w:proofErr w:type="spellStart"/>
      <w:r w:rsidRPr="00B424CF">
        <w:rPr>
          <w:rFonts w:ascii="Arial" w:hAnsi="Arial" w:cs="Arial"/>
          <w:color w:val="808080"/>
          <w:shd w:val="clear" w:color="auto" w:fill="FFFFFF"/>
        </w:rPr>
        <w:t>World</w:t>
      </w:r>
      <w:proofErr w:type="spellEnd"/>
      <w:r w:rsidRPr="00B424CF">
        <w:rPr>
          <w:rFonts w:ascii="Arial" w:hAnsi="Arial" w:cs="Arial"/>
          <w:color w:val="808080"/>
          <w:shd w:val="clear" w:color="auto" w:fill="FFFFFF"/>
        </w:rPr>
        <w:t xml:space="preserve"> y BBVA es el banco español más destacado en este índice desde el año 2020. </w:t>
      </w:r>
    </w:p>
    <w:p w14:paraId="173EA193" w14:textId="5C499F4D" w:rsidR="00B424CF" w:rsidRDefault="00B424CF" w:rsidP="00B424CF">
      <w:pPr>
        <w:widowControl/>
        <w:spacing w:after="280"/>
        <w:ind w:right="0"/>
        <w:jc w:val="both"/>
        <w:rPr>
          <w:rFonts w:ascii="Arial" w:hAnsi="Arial" w:cs="Arial"/>
          <w:color w:val="808080"/>
          <w:shd w:val="clear" w:color="auto" w:fill="FFFFFF"/>
        </w:rPr>
      </w:pPr>
      <w:r w:rsidRPr="00B424CF">
        <w:rPr>
          <w:rFonts w:ascii="Arial" w:hAnsi="Arial" w:cs="Arial"/>
          <w:color w:val="808080"/>
          <w:shd w:val="clear" w:color="auto" w:fill="FFFFFF"/>
        </w:rPr>
        <w:t>Más de 10.000 empresas cotizadas fueron invitadas a participar en el análisis realizado por S&amp;P Global CSA. Las compañías analizadas responden a un extenso cuestionario compuesto por casi un centenar de preguntas en materia ESG que recoge datos públicos y no públicos de las participantes. Solo el 10% de empresas de cada sector con mejor nota en este análisis son elegidas para formar parte de este prestigioso índice.</w:t>
      </w:r>
    </w:p>
    <w:p w14:paraId="0F7134C0" w14:textId="46D2B23D" w:rsidR="00B424CF" w:rsidRDefault="00BE3632" w:rsidP="00B424CF">
      <w:pPr>
        <w:widowControl/>
        <w:spacing w:after="280"/>
        <w:ind w:right="0"/>
        <w:jc w:val="both"/>
        <w:rPr>
          <w:rFonts w:ascii="Arial" w:hAnsi="Arial" w:cs="Arial"/>
          <w:color w:val="808080"/>
          <w:shd w:val="clear" w:color="auto" w:fill="FFFFFF"/>
          <w:lang w:val="es-CO"/>
        </w:rPr>
      </w:pPr>
      <w:r>
        <w:rPr>
          <w:rFonts w:ascii="Arial" w:hAnsi="Arial" w:cs="Arial"/>
          <w:color w:val="808080"/>
          <w:shd w:val="clear" w:color="auto" w:fill="FFFFFF"/>
          <w:lang w:val="es-CO"/>
        </w:rPr>
        <w:t xml:space="preserve">Además, BBVA obtuvo </w:t>
      </w:r>
      <w:r w:rsidR="00B424CF" w:rsidRPr="00B424CF">
        <w:rPr>
          <w:rFonts w:ascii="Arial" w:hAnsi="Arial" w:cs="Arial"/>
          <w:color w:val="808080"/>
          <w:shd w:val="clear" w:color="auto" w:fill="FFFFFF"/>
          <w:lang w:val="es-CO"/>
        </w:rPr>
        <w:t xml:space="preserve">la distinción Oro dentro de la industria bancaria en el Anuario de </w:t>
      </w:r>
      <w:r w:rsidR="003B343F" w:rsidRPr="00B424CF">
        <w:rPr>
          <w:rFonts w:ascii="Arial" w:hAnsi="Arial" w:cs="Arial"/>
          <w:color w:val="808080"/>
          <w:shd w:val="clear" w:color="auto" w:fill="FFFFFF"/>
          <w:lang w:val="es-CO"/>
        </w:rPr>
        <w:t>Sostenibilidad</w:t>
      </w:r>
      <w:r w:rsidR="00B424CF" w:rsidRPr="00B424CF">
        <w:rPr>
          <w:rFonts w:ascii="Arial" w:hAnsi="Arial" w:cs="Arial"/>
          <w:color w:val="808080"/>
          <w:shd w:val="clear" w:color="auto" w:fill="FFFFFF"/>
          <w:lang w:val="es-CO"/>
        </w:rPr>
        <w:t xml:space="preserve"> 2022 hecho público hoy por S&amp;P Global. “Felicitamos a BBVA por su inclusión en el Anuario de Sostenibilidad 2022. Más de 7.000 compañías han sido evaluadas y esta distinción subraya la dedicación a prácticas de negocio sostenibles”, ha declarado </w:t>
      </w:r>
      <w:proofErr w:type="spellStart"/>
      <w:r w:rsidR="00B424CF" w:rsidRPr="00B424CF">
        <w:rPr>
          <w:rFonts w:ascii="Arial" w:hAnsi="Arial" w:cs="Arial"/>
          <w:color w:val="808080"/>
          <w:shd w:val="clear" w:color="auto" w:fill="FFFFFF"/>
          <w:lang w:val="es-CO"/>
        </w:rPr>
        <w:t>Manjit</w:t>
      </w:r>
      <w:proofErr w:type="spellEnd"/>
      <w:r w:rsidR="00B424CF" w:rsidRPr="00B424CF">
        <w:rPr>
          <w:rFonts w:ascii="Arial" w:hAnsi="Arial" w:cs="Arial"/>
          <w:color w:val="808080"/>
          <w:shd w:val="clear" w:color="auto" w:fill="FFFFFF"/>
          <w:lang w:val="es-CO"/>
        </w:rPr>
        <w:t xml:space="preserve"> </w:t>
      </w:r>
      <w:proofErr w:type="spellStart"/>
      <w:r w:rsidR="00B424CF" w:rsidRPr="00B424CF">
        <w:rPr>
          <w:rFonts w:ascii="Arial" w:hAnsi="Arial" w:cs="Arial"/>
          <w:color w:val="808080"/>
          <w:shd w:val="clear" w:color="auto" w:fill="FFFFFF"/>
          <w:lang w:val="es-CO"/>
        </w:rPr>
        <w:t>Jus</w:t>
      </w:r>
      <w:proofErr w:type="spellEnd"/>
      <w:r w:rsidR="00B424CF" w:rsidRPr="00B424CF">
        <w:rPr>
          <w:rFonts w:ascii="Arial" w:hAnsi="Arial" w:cs="Arial"/>
          <w:color w:val="808080"/>
          <w:shd w:val="clear" w:color="auto" w:fill="FFFFFF"/>
          <w:lang w:val="es-CO"/>
        </w:rPr>
        <w:t xml:space="preserve">, director global de ESG </w:t>
      </w:r>
      <w:proofErr w:type="spellStart"/>
      <w:r w:rsidR="00B424CF" w:rsidRPr="00B424CF">
        <w:rPr>
          <w:rFonts w:ascii="Arial" w:hAnsi="Arial" w:cs="Arial"/>
          <w:color w:val="808080"/>
          <w:shd w:val="clear" w:color="auto" w:fill="FFFFFF"/>
          <w:lang w:val="es-CO"/>
        </w:rPr>
        <w:t>Research</w:t>
      </w:r>
      <w:proofErr w:type="spellEnd"/>
      <w:r w:rsidR="00B424CF" w:rsidRPr="00B424CF">
        <w:rPr>
          <w:rFonts w:ascii="Arial" w:hAnsi="Arial" w:cs="Arial"/>
          <w:color w:val="808080"/>
          <w:shd w:val="clear" w:color="auto" w:fill="FFFFFF"/>
          <w:lang w:val="es-CO"/>
        </w:rPr>
        <w:t xml:space="preserve"> de S&amp;P Global.</w:t>
      </w:r>
    </w:p>
    <w:p w14:paraId="260F7EAF" w14:textId="77777777" w:rsidR="00B424CF" w:rsidRPr="00B424CF" w:rsidRDefault="00B424CF" w:rsidP="00B424CF">
      <w:pPr>
        <w:widowControl/>
        <w:spacing w:after="280"/>
        <w:ind w:right="0"/>
        <w:jc w:val="both"/>
        <w:rPr>
          <w:rFonts w:ascii="Arial" w:hAnsi="Arial" w:cs="Arial"/>
          <w:b/>
          <w:color w:val="1F497D" w:themeColor="text2"/>
          <w:shd w:val="clear" w:color="auto" w:fill="FFFFFF"/>
          <w:lang w:val="es-CO"/>
        </w:rPr>
      </w:pPr>
      <w:r w:rsidRPr="00B424CF">
        <w:rPr>
          <w:rFonts w:ascii="Arial" w:hAnsi="Arial" w:cs="Arial"/>
          <w:b/>
          <w:color w:val="1F497D" w:themeColor="text2"/>
          <w:shd w:val="clear" w:color="auto" w:fill="FFFFFF"/>
          <w:lang w:val="es-CO"/>
        </w:rPr>
        <w:t>BBVA, en los índices de sostenibilidad</w:t>
      </w:r>
    </w:p>
    <w:p w14:paraId="1628CD86" w14:textId="15A8CC7B" w:rsidR="00B424CF" w:rsidRPr="00B424CF" w:rsidRDefault="00B424CF" w:rsidP="00B424CF">
      <w:pPr>
        <w:widowControl/>
        <w:spacing w:after="280"/>
        <w:ind w:right="0"/>
        <w:jc w:val="both"/>
        <w:rPr>
          <w:rFonts w:ascii="Arial" w:hAnsi="Arial" w:cs="Arial"/>
          <w:color w:val="808080"/>
          <w:shd w:val="clear" w:color="auto" w:fill="FFFFFF"/>
          <w:lang w:val="es-CO"/>
        </w:rPr>
      </w:pPr>
      <w:r w:rsidRPr="00B424CF">
        <w:rPr>
          <w:rFonts w:ascii="Arial" w:hAnsi="Arial" w:cs="Arial"/>
          <w:color w:val="808080"/>
          <w:shd w:val="clear" w:color="auto" w:fill="FFFFFF"/>
          <w:lang w:val="es-CO"/>
        </w:rPr>
        <w:t xml:space="preserve">BBVA forma parte de los principales índices de sostenibilidad a nivel internacional, entre los que destacan MSCI ESG </w:t>
      </w:r>
      <w:proofErr w:type="spellStart"/>
      <w:r w:rsidRPr="00B424CF">
        <w:rPr>
          <w:rFonts w:ascii="Arial" w:hAnsi="Arial" w:cs="Arial"/>
          <w:color w:val="808080"/>
          <w:shd w:val="clear" w:color="auto" w:fill="FFFFFF"/>
          <w:lang w:val="es-CO"/>
        </w:rPr>
        <w:t>Leaders</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Index</w:t>
      </w:r>
      <w:proofErr w:type="spellEnd"/>
      <w:r w:rsidRPr="00B424CF">
        <w:rPr>
          <w:rFonts w:ascii="Arial" w:hAnsi="Arial" w:cs="Arial"/>
          <w:color w:val="808080"/>
          <w:shd w:val="clear" w:color="auto" w:fill="FFFFFF"/>
          <w:lang w:val="es-CO"/>
        </w:rPr>
        <w:t xml:space="preserve">, FTSE4Good </w:t>
      </w:r>
      <w:proofErr w:type="spellStart"/>
      <w:r w:rsidRPr="00B424CF">
        <w:rPr>
          <w:rFonts w:ascii="Arial" w:hAnsi="Arial" w:cs="Arial"/>
          <w:color w:val="808080"/>
          <w:shd w:val="clear" w:color="auto" w:fill="FFFFFF"/>
          <w:lang w:val="es-CO"/>
        </w:rPr>
        <w:t>Index</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Euronext</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Vigeo</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Index</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Eurozone</w:t>
      </w:r>
      <w:proofErr w:type="spellEnd"/>
      <w:r w:rsidRPr="00B424CF">
        <w:rPr>
          <w:rFonts w:ascii="Arial" w:hAnsi="Arial" w:cs="Arial"/>
          <w:color w:val="808080"/>
          <w:shd w:val="clear" w:color="auto" w:fill="FFFFFF"/>
          <w:lang w:val="es-CO"/>
        </w:rPr>
        <w:t xml:space="preserve"> 120 y los índices </w:t>
      </w:r>
      <w:proofErr w:type="spellStart"/>
      <w:r w:rsidRPr="00B424CF">
        <w:rPr>
          <w:rFonts w:ascii="Arial" w:hAnsi="Arial" w:cs="Arial"/>
          <w:color w:val="808080"/>
          <w:shd w:val="clear" w:color="auto" w:fill="FFFFFF"/>
          <w:lang w:val="es-CO"/>
        </w:rPr>
        <w:t>Ethibel</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Sustainability</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Excellence</w:t>
      </w:r>
      <w:proofErr w:type="spellEnd"/>
      <w:r w:rsidRPr="00B424CF">
        <w:rPr>
          <w:rFonts w:ascii="Arial" w:hAnsi="Arial" w:cs="Arial"/>
          <w:color w:val="808080"/>
          <w:shd w:val="clear" w:color="auto" w:fill="FFFFFF"/>
          <w:lang w:val="es-CO"/>
        </w:rPr>
        <w:t xml:space="preserve"> </w:t>
      </w:r>
      <w:proofErr w:type="spellStart"/>
      <w:r w:rsidRPr="00B424CF">
        <w:rPr>
          <w:rFonts w:ascii="Arial" w:hAnsi="Arial" w:cs="Arial"/>
          <w:color w:val="808080"/>
          <w:shd w:val="clear" w:color="auto" w:fill="FFFFFF"/>
          <w:lang w:val="es-CO"/>
        </w:rPr>
        <w:t>Europe</w:t>
      </w:r>
      <w:proofErr w:type="spellEnd"/>
      <w:r w:rsidRPr="00B424CF">
        <w:rPr>
          <w:rFonts w:ascii="Arial" w:hAnsi="Arial" w:cs="Arial"/>
          <w:color w:val="808080"/>
          <w:shd w:val="clear" w:color="auto" w:fill="FFFFFF"/>
          <w:lang w:val="es-CO"/>
        </w:rPr>
        <w:t xml:space="preserve"> y Global. La entidad financiera también integra el índice </w:t>
      </w:r>
      <w:proofErr w:type="spellStart"/>
      <w:r w:rsidRPr="00B424CF">
        <w:rPr>
          <w:rFonts w:ascii="Arial" w:hAnsi="Arial" w:cs="Arial"/>
          <w:color w:val="808080"/>
          <w:shd w:val="clear" w:color="auto" w:fill="FFFFFF"/>
          <w:lang w:val="es-CO"/>
        </w:rPr>
        <w:t>Bloomberg</w:t>
      </w:r>
      <w:proofErr w:type="spellEnd"/>
      <w:r w:rsidRPr="00B424CF">
        <w:rPr>
          <w:rFonts w:ascii="Arial" w:hAnsi="Arial" w:cs="Arial"/>
          <w:color w:val="808080"/>
          <w:shd w:val="clear" w:color="auto" w:fill="FFFFFF"/>
          <w:lang w:val="es-CO"/>
        </w:rPr>
        <w:t xml:space="preserve"> de igualdad de género. Además, ha obtenido una calificación B en el último </w:t>
      </w:r>
      <w:r>
        <w:rPr>
          <w:rFonts w:ascii="Arial" w:hAnsi="Arial" w:cs="Arial"/>
          <w:color w:val="808080"/>
          <w:shd w:val="clear" w:color="auto" w:fill="FFFFFF"/>
          <w:lang w:val="es-CO"/>
        </w:rPr>
        <w:t xml:space="preserve">análisis de CDP </w:t>
      </w:r>
      <w:proofErr w:type="spellStart"/>
      <w:r>
        <w:rPr>
          <w:rFonts w:ascii="Arial" w:hAnsi="Arial" w:cs="Arial"/>
          <w:color w:val="808080"/>
          <w:shd w:val="clear" w:color="auto" w:fill="FFFFFF"/>
          <w:lang w:val="es-CO"/>
        </w:rPr>
        <w:t>Climate</w:t>
      </w:r>
      <w:proofErr w:type="spellEnd"/>
      <w:r>
        <w:rPr>
          <w:rFonts w:ascii="Arial" w:hAnsi="Arial" w:cs="Arial"/>
          <w:color w:val="808080"/>
          <w:shd w:val="clear" w:color="auto" w:fill="FFFFFF"/>
          <w:lang w:val="es-CO"/>
        </w:rPr>
        <w:t xml:space="preserve"> </w:t>
      </w:r>
      <w:proofErr w:type="spellStart"/>
      <w:r>
        <w:rPr>
          <w:rFonts w:ascii="Arial" w:hAnsi="Arial" w:cs="Arial"/>
          <w:color w:val="808080"/>
          <w:shd w:val="clear" w:color="auto" w:fill="FFFFFF"/>
          <w:lang w:val="es-CO"/>
        </w:rPr>
        <w:t>Change</w:t>
      </w:r>
      <w:proofErr w:type="spellEnd"/>
      <w:r>
        <w:rPr>
          <w:rFonts w:ascii="Arial" w:hAnsi="Arial" w:cs="Arial"/>
          <w:color w:val="808080"/>
          <w:shd w:val="clear" w:color="auto" w:fill="FFFFFF"/>
          <w:lang w:val="es-CO"/>
        </w:rPr>
        <w:t>.</w:t>
      </w:r>
    </w:p>
    <w:p w14:paraId="4D0D41B1" w14:textId="6A9AC528" w:rsidR="00B424CF" w:rsidRPr="00B424CF" w:rsidRDefault="00B424CF" w:rsidP="00B424CF">
      <w:pPr>
        <w:widowControl/>
        <w:spacing w:after="280"/>
        <w:ind w:right="0"/>
        <w:jc w:val="both"/>
        <w:rPr>
          <w:rFonts w:ascii="Arial" w:hAnsi="Arial" w:cs="Arial"/>
          <w:color w:val="808080"/>
          <w:shd w:val="clear" w:color="auto" w:fill="FFFFFF"/>
          <w:lang w:val="es-CO"/>
        </w:rPr>
      </w:pPr>
      <w:r w:rsidRPr="00B424CF">
        <w:rPr>
          <w:rFonts w:ascii="Arial" w:hAnsi="Arial" w:cs="Arial"/>
          <w:color w:val="808080"/>
          <w:shd w:val="clear" w:color="auto" w:fill="FFFFFF"/>
          <w:lang w:val="es-CO"/>
        </w:rPr>
        <w:t xml:space="preserve">En acción climática, BBVA duplicó el año pasado su objetivo de financiación sostenible desde los 100.000 millones de euros hasta los 200.000 millones, que pretende movilizar en el periodo 2018-2025. La entidad financiera dejará de financiar el carbón en 2030 en los países desarrollados y en 2040 en el resto. Además, BBVA ha fijado objetivos para </w:t>
      </w:r>
      <w:proofErr w:type="spellStart"/>
      <w:r w:rsidRPr="00B424CF">
        <w:rPr>
          <w:rFonts w:ascii="Arial" w:hAnsi="Arial" w:cs="Arial"/>
          <w:color w:val="808080"/>
          <w:shd w:val="clear" w:color="auto" w:fill="FFFFFF"/>
          <w:lang w:val="es-CO"/>
        </w:rPr>
        <w:t>descarbonizar</w:t>
      </w:r>
      <w:proofErr w:type="spellEnd"/>
      <w:r w:rsidRPr="00B424CF">
        <w:rPr>
          <w:rFonts w:ascii="Arial" w:hAnsi="Arial" w:cs="Arial"/>
          <w:color w:val="808080"/>
          <w:shd w:val="clear" w:color="auto" w:fill="FFFFFF"/>
          <w:lang w:val="es-CO"/>
        </w:rPr>
        <w:t xml:space="preserve"> su cartera en cuatro sectores intensivos en emisiones en 2030, todo ello con el objetivo de ser neutro e</w:t>
      </w:r>
      <w:r>
        <w:rPr>
          <w:rFonts w:ascii="Arial" w:hAnsi="Arial" w:cs="Arial"/>
          <w:color w:val="808080"/>
          <w:shd w:val="clear" w:color="auto" w:fill="FFFFFF"/>
          <w:lang w:val="es-CO"/>
        </w:rPr>
        <w:t>n emisiones de carbono en 2050.</w:t>
      </w:r>
    </w:p>
    <w:p w14:paraId="1A7AA36E" w14:textId="321B2F1A" w:rsidR="00B424CF" w:rsidRPr="00B424CF" w:rsidRDefault="00B424CF" w:rsidP="00B424CF">
      <w:pPr>
        <w:widowControl/>
        <w:spacing w:after="280"/>
        <w:ind w:right="0"/>
        <w:jc w:val="both"/>
        <w:rPr>
          <w:rFonts w:ascii="Arial" w:hAnsi="Arial" w:cs="Arial"/>
          <w:color w:val="808080"/>
          <w:shd w:val="clear" w:color="auto" w:fill="FFFFFF"/>
          <w:lang w:val="es-CO"/>
        </w:rPr>
      </w:pPr>
      <w:r w:rsidRPr="00B424CF">
        <w:rPr>
          <w:rFonts w:ascii="Arial" w:hAnsi="Arial" w:cs="Arial"/>
          <w:color w:val="808080"/>
          <w:shd w:val="clear" w:color="auto" w:fill="FFFFFF"/>
          <w:lang w:val="es-CO"/>
        </w:rPr>
        <w:t>En crecimiento inclusivo, BBVA ha anunciado recientemente su Compromiso con la Comunidad. En el periodo 2021-2025, destinará 550 millones de euros a iniciativas sociales en el plan social más ambicioso puesto en marcha</w:t>
      </w:r>
      <w:r>
        <w:rPr>
          <w:rFonts w:ascii="Arial" w:hAnsi="Arial" w:cs="Arial"/>
          <w:color w:val="808080"/>
          <w:shd w:val="clear" w:color="auto" w:fill="FFFFFF"/>
          <w:lang w:val="es-CO"/>
        </w:rPr>
        <w:t xml:space="preserve"> hasta la fecha por la entidad.</w:t>
      </w:r>
    </w:p>
    <w:p w14:paraId="111C3F7D" w14:textId="77777777" w:rsidR="00211BB8" w:rsidRDefault="00683C5E" w:rsidP="00211BB8">
      <w:pPr>
        <w:widowControl/>
        <w:spacing w:before="480" w:line="240" w:lineRule="auto"/>
        <w:ind w:right="0"/>
        <w:rPr>
          <w:rFonts w:ascii="Arial" w:eastAsia="Arial" w:hAnsi="Arial"/>
          <w:color w:val="072146"/>
          <w:sz w:val="36"/>
          <w:szCs w:val="36"/>
        </w:rPr>
      </w:pPr>
      <w:r w:rsidRPr="00C67759">
        <w:rPr>
          <w:rFonts w:ascii="Arial" w:hAnsi="Arial" w:cs="Arial"/>
          <w:color w:val="808080" w:themeColor="background1" w:themeShade="80"/>
        </w:rPr>
        <w:br w:type="page"/>
      </w:r>
      <w:r w:rsidR="00211BB8">
        <w:rPr>
          <w:rFonts w:ascii="Arial" w:eastAsia="Arial" w:hAnsi="Arial"/>
          <w:color w:val="072146"/>
          <w:sz w:val="36"/>
          <w:szCs w:val="36"/>
        </w:rPr>
        <w:lastRenderedPageBreak/>
        <w:t xml:space="preserve">Acerca de BBVA </w:t>
      </w:r>
    </w:p>
    <w:p w14:paraId="03BC58C9" w14:textId="77777777" w:rsidR="00211BB8" w:rsidRDefault="00211BB8" w:rsidP="00211BB8">
      <w:pPr>
        <w:rPr>
          <w:rFonts w:ascii="BBVABentonSans" w:eastAsia="BBVABentonSans" w:hAnsi="BBVABentonSans" w:cs="BBVABentonSans"/>
          <w:color w:val="072146"/>
          <w:sz w:val="22"/>
          <w:szCs w:val="22"/>
        </w:rPr>
      </w:pPr>
      <w:r>
        <w:rPr>
          <w:rFonts w:ascii="BBVABentonSans" w:eastAsia="BBVABentonSans" w:hAnsi="BBVABentonSans" w:cs="BBVABentonSans"/>
          <w:noProof/>
          <w:color w:val="072146"/>
          <w:sz w:val="22"/>
          <w:szCs w:val="22"/>
          <w:lang w:val="es-CO" w:eastAsia="es-CO"/>
        </w:rPr>
        <w:drawing>
          <wp:inline distT="114300" distB="114300" distL="114300" distR="114300" wp14:anchorId="5A59FFC3" wp14:editId="49B5C3EA">
            <wp:extent cx="6484310" cy="35306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84310" cy="3530600"/>
                    </a:xfrm>
                    <a:prstGeom prst="rect">
                      <a:avLst/>
                    </a:prstGeom>
                    <a:ln/>
                  </pic:spPr>
                </pic:pic>
              </a:graphicData>
            </a:graphic>
          </wp:inline>
        </w:drawing>
      </w:r>
    </w:p>
    <w:p w14:paraId="6BA6B73D" w14:textId="77777777" w:rsidR="00211BB8" w:rsidRDefault="00211BB8" w:rsidP="00211BB8">
      <w:pPr>
        <w:rPr>
          <w:rFonts w:ascii="Arial" w:eastAsia="Arial" w:hAnsi="Arial"/>
          <w:color w:val="072146"/>
          <w:sz w:val="22"/>
          <w:szCs w:val="22"/>
        </w:rPr>
      </w:pPr>
      <w:r>
        <w:rPr>
          <w:rFonts w:ascii="Arial" w:eastAsia="Arial" w:hAnsi="Arial"/>
          <w:color w:val="072146"/>
          <w:sz w:val="22"/>
          <w:szCs w:val="22"/>
        </w:rPr>
        <w:t xml:space="preserve">BBVA es un grupo financiero global fundado en 1857 con una visión centrada en el cliente. Tiene una posición de liderazgo en el mercado español, es la mayor institución financiera de México y cuenta con franquicias líder en América del Sur. Además, es el primer accionista de </w:t>
      </w:r>
      <w:proofErr w:type="spellStart"/>
      <w:r>
        <w:rPr>
          <w:rFonts w:ascii="Arial" w:eastAsia="Arial" w:hAnsi="Arial"/>
          <w:color w:val="072146"/>
          <w:sz w:val="22"/>
          <w:szCs w:val="22"/>
        </w:rPr>
        <w:t>Garanti</w:t>
      </w:r>
      <w:proofErr w:type="spellEnd"/>
      <w:r>
        <w:rPr>
          <w:rFonts w:ascii="Arial" w:eastAsia="Arial" w:hAnsi="Arial"/>
          <w:color w:val="072146"/>
          <w:sz w:val="22"/>
          <w:szCs w:val="22"/>
        </w:rPr>
        <w:t xml:space="preserve"> BBVA, en Turquía, y posee un importante negocio de banca de inversión, transaccional y de mercados de capital en EE.UU. Su propósito es poner al alcance de </w:t>
      </w:r>
      <w:proofErr w:type="gramStart"/>
      <w:r>
        <w:rPr>
          <w:rFonts w:ascii="Arial" w:eastAsia="Arial" w:hAnsi="Arial"/>
          <w:color w:val="072146"/>
          <w:sz w:val="22"/>
          <w:szCs w:val="22"/>
        </w:rPr>
        <w:t>todos</w:t>
      </w:r>
      <w:proofErr w:type="gramEnd"/>
      <w:r>
        <w:rPr>
          <w:rFonts w:ascii="Arial" w:eastAsia="Arial" w:hAnsi="Arial"/>
          <w:color w:val="072146"/>
          <w:sz w:val="22"/>
          <w:szCs w:val="22"/>
        </w:rPr>
        <w:t xml:space="preserve">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14:paraId="114FA26C" w14:textId="5D29CD4F" w:rsidR="002C4912" w:rsidRPr="00211BB8" w:rsidRDefault="00211BB8" w:rsidP="00211BB8">
      <w:pPr>
        <w:rPr>
          <w:rFonts w:ascii="Arial" w:eastAsia="Arial" w:hAnsi="Arial"/>
        </w:rPr>
      </w:pPr>
      <w:r>
        <w:rPr>
          <w:rFonts w:ascii="Arial" w:eastAsia="Arial" w:hAnsi="Arial"/>
          <w:b/>
          <w:color w:val="072146"/>
          <w:sz w:val="22"/>
          <w:szCs w:val="22"/>
        </w:rPr>
        <w:t>BBVA en Colombia</w:t>
      </w:r>
      <w:r>
        <w:rPr>
          <w:rFonts w:ascii="Arial" w:eastAsia="Arial" w:hAnsi="Arial"/>
          <w:color w:val="072146"/>
          <w:sz w:val="22"/>
          <w:szCs w:val="22"/>
        </w:rPr>
        <w:t xml:space="preserve"> tiene presencia en todo el territorio nacional a través de 416 oficinas y centros de atención y 1.350 cajeros automáticos. Al cierre de 2020, la entidad reportó activos por 68,4 billones de pesos y una cartera de créditos de 50,9 billones de pesos. Cuenta con una base de clientes cercana a tres millones de colombianos, de los cuales dos millones son clientes móviles. BBVA tiene una planta de 5.052 colaboradores de los cuales cerca del 60% son mujeres. Gestiona iniciativas que contribuyan al desarrollo económico y social del país de manera sostenible con foco en tres ejes: iniciativas que contribuyan a reducir la desigualdad y el apoyo a comunidades vulnerables; impulso a la educación y promoción de la sostenibilidad. Para el primer semestre del año logró operaciones por 1 billón de pesos en financiación sostenible.</w:t>
      </w:r>
    </w:p>
    <w:sectPr w:rsidR="002C4912" w:rsidRPr="00211BB8">
      <w:headerReference w:type="default" r:id="rId12"/>
      <w:headerReference w:type="first" r:id="rId13"/>
      <w:pgSz w:w="11900" w:h="16840"/>
      <w:pgMar w:top="2835" w:right="771" w:bottom="1134" w:left="709"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0404" w14:textId="77777777" w:rsidR="00007414" w:rsidRDefault="00007414">
      <w:pPr>
        <w:spacing w:after="0" w:line="240" w:lineRule="auto"/>
      </w:pPr>
      <w:r>
        <w:separator/>
      </w:r>
    </w:p>
  </w:endnote>
  <w:endnote w:type="continuationSeparator" w:id="0">
    <w:p w14:paraId="1F309AAE" w14:textId="77777777" w:rsidR="00007414" w:rsidRDefault="0000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BVABentonSansLigh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BVABenton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C273" w14:textId="77777777" w:rsidR="00007414" w:rsidRDefault="00007414">
      <w:pPr>
        <w:spacing w:after="0" w:line="240" w:lineRule="auto"/>
      </w:pPr>
      <w:r>
        <w:separator/>
      </w:r>
    </w:p>
  </w:footnote>
  <w:footnote w:type="continuationSeparator" w:id="0">
    <w:p w14:paraId="5CF75D74" w14:textId="77777777" w:rsidR="00007414" w:rsidRDefault="0000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2000" w14:textId="77777777" w:rsidR="002C4912" w:rsidRDefault="00BC4EF7">
    <w:pPr>
      <w:tabs>
        <w:tab w:val="center" w:pos="4252"/>
        <w:tab w:val="right" w:pos="8504"/>
      </w:tabs>
      <w:jc w:val="right"/>
      <w:rPr>
        <w:color w:val="121212"/>
        <w:sz w:val="32"/>
        <w:szCs w:val="32"/>
      </w:rPr>
    </w:pPr>
    <w:r>
      <w:rPr>
        <w:noProof/>
        <w:lang w:val="es-CO" w:eastAsia="es-CO"/>
      </w:rPr>
      <w:drawing>
        <wp:anchor distT="0" distB="0" distL="114300" distR="114300" simplePos="0" relativeHeight="251658240" behindDoc="0" locked="0" layoutInCell="1" hidden="0" allowOverlap="1" wp14:anchorId="48F40F9F" wp14:editId="5608307C">
          <wp:simplePos x="0" y="0"/>
          <wp:positionH relativeFrom="column">
            <wp:posOffset>1</wp:posOffset>
          </wp:positionH>
          <wp:positionV relativeFrom="paragraph">
            <wp:posOffset>57150</wp:posOffset>
          </wp:positionV>
          <wp:extent cx="2073600" cy="532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48457950" w14:textId="77777777" w:rsidR="002C4912" w:rsidRDefault="002C4912">
    <w:pPr>
      <w:widowControl/>
      <w:pBdr>
        <w:top w:val="nil"/>
        <w:left w:val="nil"/>
        <w:bottom w:val="nil"/>
        <w:right w:val="nil"/>
        <w:between w:val="nil"/>
      </w:pBdr>
      <w:spacing w:after="0" w:line="240" w:lineRule="auto"/>
      <w:ind w:right="0"/>
      <w:jc w:val="right"/>
      <w:rPr>
        <w:color w:val="072146"/>
        <w:sz w:val="20"/>
        <w:szCs w:val="20"/>
      </w:rPr>
    </w:pPr>
  </w:p>
  <w:p w14:paraId="69A420BD" w14:textId="77777777" w:rsidR="009236DD" w:rsidRDefault="009236DD">
    <w:pPr>
      <w:widowControl/>
      <w:pBdr>
        <w:top w:val="nil"/>
        <w:left w:val="nil"/>
        <w:bottom w:val="nil"/>
        <w:right w:val="nil"/>
        <w:between w:val="nil"/>
      </w:pBdr>
      <w:spacing w:after="0" w:line="240" w:lineRule="auto"/>
      <w:ind w:right="0"/>
      <w:jc w:val="right"/>
      <w:rPr>
        <w:color w:val="072146"/>
        <w:sz w:val="20"/>
        <w:szCs w:val="20"/>
      </w:rPr>
    </w:pPr>
  </w:p>
  <w:p w14:paraId="2C4BDFAF" w14:textId="28BCB344" w:rsidR="002C4912" w:rsidRDefault="002C2EEC">
    <w:pPr>
      <w:widowControl/>
      <w:pBdr>
        <w:top w:val="nil"/>
        <w:left w:val="nil"/>
        <w:bottom w:val="nil"/>
        <w:right w:val="nil"/>
        <w:between w:val="nil"/>
      </w:pBdr>
      <w:spacing w:after="0" w:line="240" w:lineRule="auto"/>
      <w:ind w:right="0"/>
      <w:jc w:val="right"/>
      <w:rPr>
        <w:color w:val="072146"/>
        <w:sz w:val="20"/>
        <w:szCs w:val="20"/>
      </w:rPr>
    </w:pPr>
    <w:r>
      <w:rPr>
        <w:color w:val="072146"/>
        <w:sz w:val="20"/>
        <w:szCs w:val="20"/>
      </w:rPr>
      <w:t>01</w:t>
    </w:r>
    <w:r w:rsidR="001F03B4">
      <w:rPr>
        <w:color w:val="072146"/>
        <w:sz w:val="20"/>
        <w:szCs w:val="20"/>
      </w:rPr>
      <w:t>.0</w:t>
    </w:r>
    <w:r>
      <w:rPr>
        <w:color w:val="072146"/>
        <w:sz w:val="20"/>
        <w:szCs w:val="20"/>
      </w:rPr>
      <w:t>2</w:t>
    </w:r>
    <w:r w:rsidR="00BC4EF7">
      <w:rPr>
        <w:color w:val="072146"/>
        <w:sz w:val="20"/>
        <w:szCs w:val="20"/>
      </w:rPr>
      <w:t>.20</w:t>
    </w:r>
    <w:r w:rsidR="001F03B4">
      <w:rPr>
        <w:color w:val="072146"/>
        <w:sz w:val="20"/>
        <w:szCs w:val="20"/>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64B8" w14:textId="77777777" w:rsidR="002C4912" w:rsidRDefault="00BC4EF7">
    <w:pPr>
      <w:widowControl/>
      <w:pBdr>
        <w:top w:val="nil"/>
        <w:left w:val="nil"/>
        <w:bottom w:val="nil"/>
        <w:right w:val="nil"/>
        <w:between w:val="nil"/>
      </w:pBdr>
      <w:spacing w:after="0" w:line="240" w:lineRule="auto"/>
      <w:ind w:right="0"/>
      <w:jc w:val="right"/>
      <w:rPr>
        <w:color w:val="02A5A5"/>
        <w:sz w:val="32"/>
        <w:szCs w:val="32"/>
      </w:rPr>
    </w:pPr>
    <w:r>
      <w:rPr>
        <w:color w:val="02A5A5"/>
        <w:sz w:val="32"/>
        <w:szCs w:val="32"/>
      </w:rPr>
      <w:t>Nota de prensa</w:t>
    </w:r>
    <w:r>
      <w:rPr>
        <w:noProof/>
        <w:lang w:val="es-CO" w:eastAsia="es-CO"/>
      </w:rPr>
      <w:drawing>
        <wp:anchor distT="0" distB="0" distL="114300" distR="114300" simplePos="0" relativeHeight="251659264" behindDoc="0" locked="0" layoutInCell="1" hidden="0" allowOverlap="1" wp14:anchorId="1338EA34" wp14:editId="097D889D">
          <wp:simplePos x="0" y="0"/>
          <wp:positionH relativeFrom="column">
            <wp:posOffset>5</wp:posOffset>
          </wp:positionH>
          <wp:positionV relativeFrom="paragraph">
            <wp:posOffset>0</wp:posOffset>
          </wp:positionV>
          <wp:extent cx="2073600" cy="532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3780B0A6" w14:textId="77777777" w:rsidR="002C4912" w:rsidRDefault="002C4912">
    <w:pPr>
      <w:widowControl/>
      <w:pBdr>
        <w:top w:val="nil"/>
        <w:left w:val="nil"/>
        <w:bottom w:val="nil"/>
        <w:right w:val="nil"/>
        <w:between w:val="nil"/>
      </w:pBdr>
      <w:spacing w:after="0" w:line="240" w:lineRule="auto"/>
      <w:ind w:right="0"/>
      <w:jc w:val="right"/>
      <w:rPr>
        <w:color w:val="072146"/>
        <w:sz w:val="20"/>
        <w:szCs w:val="20"/>
      </w:rPr>
    </w:pPr>
  </w:p>
  <w:p w14:paraId="5F05A6EC" w14:textId="77777777" w:rsidR="002C4912" w:rsidRDefault="002C4912">
    <w:pPr>
      <w:widowControl/>
      <w:pBdr>
        <w:top w:val="nil"/>
        <w:left w:val="nil"/>
        <w:bottom w:val="nil"/>
        <w:right w:val="nil"/>
        <w:between w:val="nil"/>
      </w:pBdr>
      <w:spacing w:after="0" w:line="240" w:lineRule="auto"/>
      <w:ind w:right="0"/>
      <w:jc w:val="right"/>
      <w:rPr>
        <w:color w:val="072146"/>
        <w:sz w:val="20"/>
        <w:szCs w:val="20"/>
      </w:rPr>
    </w:pPr>
  </w:p>
  <w:p w14:paraId="76E184AC" w14:textId="77777777" w:rsidR="002C4912" w:rsidRDefault="002C4912">
    <w:pPr>
      <w:widowControl/>
      <w:pBdr>
        <w:top w:val="nil"/>
        <w:left w:val="nil"/>
        <w:bottom w:val="nil"/>
        <w:right w:val="nil"/>
        <w:between w:val="nil"/>
      </w:pBdr>
      <w:spacing w:after="0" w:line="240" w:lineRule="auto"/>
      <w:ind w:right="0"/>
      <w:jc w:val="right"/>
      <w:rPr>
        <w:color w:val="072146"/>
        <w:sz w:val="20"/>
        <w:szCs w:val="20"/>
      </w:rPr>
    </w:pPr>
  </w:p>
  <w:p w14:paraId="44ABABA0" w14:textId="77777777" w:rsidR="002C4912" w:rsidRDefault="002C4912">
    <w:pPr>
      <w:widowControl/>
      <w:pBdr>
        <w:top w:val="nil"/>
        <w:left w:val="nil"/>
        <w:bottom w:val="nil"/>
        <w:right w:val="nil"/>
        <w:between w:val="nil"/>
      </w:pBdr>
      <w:spacing w:after="0" w:line="240" w:lineRule="auto"/>
      <w:ind w:right="0"/>
      <w:jc w:val="right"/>
      <w:rPr>
        <w:color w:val="072146"/>
        <w:sz w:val="20"/>
        <w:szCs w:val="20"/>
      </w:rPr>
    </w:pPr>
  </w:p>
  <w:p w14:paraId="08E3FDC2" w14:textId="77777777" w:rsidR="002C4912" w:rsidRDefault="00BC4EF7">
    <w:pPr>
      <w:widowControl/>
      <w:pBdr>
        <w:top w:val="nil"/>
        <w:left w:val="nil"/>
        <w:bottom w:val="nil"/>
        <w:right w:val="nil"/>
        <w:between w:val="nil"/>
      </w:pBdr>
      <w:spacing w:after="0" w:line="240" w:lineRule="auto"/>
      <w:ind w:right="0"/>
      <w:jc w:val="right"/>
      <w:rPr>
        <w:color w:val="072146"/>
        <w:sz w:val="20"/>
        <w:szCs w:val="20"/>
      </w:rPr>
    </w:pPr>
    <w:r>
      <w:rPr>
        <w:color w:val="072146"/>
        <w:sz w:val="20"/>
        <w:szCs w:val="20"/>
      </w:rPr>
      <w:t>03, 09, 2019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E91"/>
    <w:multiLevelType w:val="multilevel"/>
    <w:tmpl w:val="606C98F8"/>
    <w:lvl w:ilvl="0">
      <w:start w:val="1"/>
      <w:numFmt w:val="bullet"/>
      <w:lvlText w:val="▰"/>
      <w:lvlJc w:val="left"/>
      <w:pPr>
        <w:ind w:left="360" w:hanging="360"/>
      </w:pPr>
      <w:rPr>
        <w:rFonts w:ascii="Noto Sans Symbols" w:eastAsia="Noto Sans Symbols" w:hAnsi="Noto Sans Symbols" w:cs="Noto Sans Symbols"/>
        <w:color w:val="2DCCCD"/>
        <w:sz w:val="24"/>
        <w:szCs w:val="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12"/>
    <w:rsid w:val="00007414"/>
    <w:rsid w:val="000A454C"/>
    <w:rsid w:val="001856C5"/>
    <w:rsid w:val="001D2C93"/>
    <w:rsid w:val="001E6FD1"/>
    <w:rsid w:val="001F03B4"/>
    <w:rsid w:val="00211BB8"/>
    <w:rsid w:val="00246CA2"/>
    <w:rsid w:val="00254935"/>
    <w:rsid w:val="002C2EEC"/>
    <w:rsid w:val="002C4912"/>
    <w:rsid w:val="00346BD0"/>
    <w:rsid w:val="0039223A"/>
    <w:rsid w:val="003B343F"/>
    <w:rsid w:val="0041482F"/>
    <w:rsid w:val="00415072"/>
    <w:rsid w:val="004642D9"/>
    <w:rsid w:val="004C7692"/>
    <w:rsid w:val="005422DA"/>
    <w:rsid w:val="0057725C"/>
    <w:rsid w:val="00587673"/>
    <w:rsid w:val="005B665D"/>
    <w:rsid w:val="006454B6"/>
    <w:rsid w:val="00683C5E"/>
    <w:rsid w:val="0079399D"/>
    <w:rsid w:val="007969E8"/>
    <w:rsid w:val="0079745A"/>
    <w:rsid w:val="007B64B5"/>
    <w:rsid w:val="007C3E5B"/>
    <w:rsid w:val="008135E6"/>
    <w:rsid w:val="00896C4D"/>
    <w:rsid w:val="008B2FE4"/>
    <w:rsid w:val="009236DD"/>
    <w:rsid w:val="00965895"/>
    <w:rsid w:val="009C4C06"/>
    <w:rsid w:val="009F52D9"/>
    <w:rsid w:val="00A47DEC"/>
    <w:rsid w:val="00AD766D"/>
    <w:rsid w:val="00B424CF"/>
    <w:rsid w:val="00B45A75"/>
    <w:rsid w:val="00B8170E"/>
    <w:rsid w:val="00B845EC"/>
    <w:rsid w:val="00B849C2"/>
    <w:rsid w:val="00BC4EF7"/>
    <w:rsid w:val="00BE3632"/>
    <w:rsid w:val="00BF0216"/>
    <w:rsid w:val="00C67759"/>
    <w:rsid w:val="00C7005C"/>
    <w:rsid w:val="00C9472F"/>
    <w:rsid w:val="00D36F76"/>
    <w:rsid w:val="00D72C97"/>
    <w:rsid w:val="00E12A6A"/>
    <w:rsid w:val="00E20EE2"/>
    <w:rsid w:val="00E33803"/>
    <w:rsid w:val="00EC3E50"/>
    <w:rsid w:val="00F31614"/>
    <w:rsid w:val="00FA03EE"/>
    <w:rsid w:val="00FE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3CA6"/>
  <w15:docId w15:val="{1D45CFD6-136D-C94B-8835-8A41E020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s-ES_tradnl" w:eastAsia="en-US"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line="240" w:lineRule="auto"/>
      <w:ind w:right="0"/>
      <w:outlineLvl w:val="0"/>
    </w:pPr>
    <w:rPr>
      <w:b/>
      <w:color w:val="004481"/>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tabs>
        <w:tab w:val="left" w:pos="-4111"/>
      </w:tabs>
      <w:spacing w:after="480" w:line="240" w:lineRule="auto"/>
    </w:pPr>
    <w:rPr>
      <w:rFonts w:ascii="BBVABentonSans" w:eastAsia="BBVABentonSans" w:hAnsi="BBVABentonSans" w:cs="BBVABentonSans"/>
      <w:color w:val="02A5A5"/>
      <w:sz w:val="48"/>
      <w:szCs w:val="48"/>
    </w:rPr>
  </w:style>
  <w:style w:type="paragraph" w:styleId="Subttulo">
    <w:name w:val="Subtitle"/>
    <w:basedOn w:val="Normal"/>
    <w:next w:val="Normal"/>
    <w:uiPriority w:val="11"/>
    <w:qFormat/>
    <w:pPr>
      <w:keepNext/>
      <w:keepLines/>
      <w:spacing w:before="360" w:after="80"/>
    </w:pPr>
    <w:rPr>
      <w:rFonts w:ascii="Georgia" w:eastAsia="Georgia" w:hAnsi="Georgia" w:cs="Georgia"/>
      <w:i/>
      <w:sz w:val="48"/>
      <w:szCs w:val="48"/>
    </w:rPr>
  </w:style>
  <w:style w:type="paragraph" w:styleId="Textodeglobo">
    <w:name w:val="Balloon Text"/>
    <w:basedOn w:val="Normal"/>
    <w:link w:val="TextodegloboCar"/>
    <w:uiPriority w:val="99"/>
    <w:semiHidden/>
    <w:unhideWhenUsed/>
    <w:rsid w:val="00346B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BD0"/>
    <w:rPr>
      <w:rFonts w:ascii="Segoe UI" w:hAnsi="Segoe UI" w:cs="Segoe UI"/>
      <w:sz w:val="18"/>
      <w:szCs w:val="18"/>
    </w:rPr>
  </w:style>
  <w:style w:type="paragraph" w:styleId="Encabezado">
    <w:name w:val="header"/>
    <w:basedOn w:val="Normal"/>
    <w:link w:val="EncabezadoCar"/>
    <w:uiPriority w:val="99"/>
    <w:unhideWhenUsed/>
    <w:rsid w:val="00464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2D9"/>
  </w:style>
  <w:style w:type="paragraph" w:styleId="Piedepgina">
    <w:name w:val="footer"/>
    <w:basedOn w:val="Normal"/>
    <w:link w:val="PiedepginaCar"/>
    <w:uiPriority w:val="99"/>
    <w:unhideWhenUsed/>
    <w:rsid w:val="00464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2D9"/>
  </w:style>
  <w:style w:type="paragraph" w:styleId="Prrafodelista">
    <w:name w:val="List Paragraph"/>
    <w:basedOn w:val="Normal"/>
    <w:uiPriority w:val="34"/>
    <w:qFormat/>
    <w:rsid w:val="00FA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5247">
      <w:bodyDiv w:val="1"/>
      <w:marLeft w:val="0"/>
      <w:marRight w:val="0"/>
      <w:marTop w:val="0"/>
      <w:marBottom w:val="0"/>
      <w:divBdr>
        <w:top w:val="none" w:sz="0" w:space="0" w:color="auto"/>
        <w:left w:val="none" w:sz="0" w:space="0" w:color="auto"/>
        <w:bottom w:val="none" w:sz="0" w:space="0" w:color="auto"/>
        <w:right w:val="none" w:sz="0" w:space="0" w:color="auto"/>
      </w:divBdr>
    </w:div>
    <w:div w:id="1174104740">
      <w:bodyDiv w:val="1"/>
      <w:marLeft w:val="0"/>
      <w:marRight w:val="0"/>
      <w:marTop w:val="0"/>
      <w:marBottom w:val="0"/>
      <w:divBdr>
        <w:top w:val="none" w:sz="0" w:space="0" w:color="auto"/>
        <w:left w:val="none" w:sz="0" w:space="0" w:color="auto"/>
        <w:bottom w:val="none" w:sz="0" w:space="0" w:color="auto"/>
        <w:right w:val="none" w:sz="0" w:space="0" w:color="auto"/>
      </w:divBdr>
    </w:div>
    <w:div w:id="1903443295">
      <w:bodyDiv w:val="1"/>
      <w:marLeft w:val="0"/>
      <w:marRight w:val="0"/>
      <w:marTop w:val="0"/>
      <w:marBottom w:val="0"/>
      <w:divBdr>
        <w:top w:val="none" w:sz="0" w:space="0" w:color="auto"/>
        <w:left w:val="none" w:sz="0" w:space="0" w:color="auto"/>
        <w:bottom w:val="none" w:sz="0" w:space="0" w:color="auto"/>
        <w:right w:val="none" w:sz="0" w:space="0" w:color="auto"/>
      </w:divBdr>
    </w:div>
    <w:div w:id="2036538365">
      <w:bodyDiv w:val="1"/>
      <w:marLeft w:val="0"/>
      <w:marRight w:val="0"/>
      <w:marTop w:val="0"/>
      <w:marBottom w:val="0"/>
      <w:divBdr>
        <w:top w:val="none" w:sz="0" w:space="0" w:color="auto"/>
        <w:left w:val="none" w:sz="0" w:space="0" w:color="auto"/>
        <w:bottom w:val="none" w:sz="0" w:space="0" w:color="auto"/>
        <w:right w:val="none" w:sz="0" w:space="0" w:color="auto"/>
      </w:divBdr>
    </w:div>
    <w:div w:id="213575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3863C6CC9E494BB97D49DEEDC957BD" ma:contentTypeVersion="10" ma:contentTypeDescription="Criar um novo documento." ma:contentTypeScope="" ma:versionID="df295c4a90f1211637fd49cce177519b">
  <xsd:schema xmlns:xsd="http://www.w3.org/2001/XMLSchema" xmlns:xs="http://www.w3.org/2001/XMLSchema" xmlns:p="http://schemas.microsoft.com/office/2006/metadata/properties" xmlns:ns3="ebd64c8f-bd70-4500-8945-7fd679969c60" targetNamespace="http://schemas.microsoft.com/office/2006/metadata/properties" ma:root="true" ma:fieldsID="8ea6e883997bea0b3b3c4b3af0c14452" ns3:_="">
    <xsd:import namespace="ebd64c8f-bd70-4500-8945-7fd679969c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4c8f-bd70-4500-8945-7fd679969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A447-2BEB-4318-8D09-3A5154951037}">
  <ds:schemaRefs>
    <ds:schemaRef ds:uri="http://schemas.microsoft.com/sharepoint/v3/contenttype/forms"/>
  </ds:schemaRefs>
</ds:datastoreItem>
</file>

<file path=customXml/itemProps2.xml><?xml version="1.0" encoding="utf-8"?>
<ds:datastoreItem xmlns:ds="http://schemas.openxmlformats.org/officeDocument/2006/customXml" ds:itemID="{A2ACEB31-2C4D-4626-A4AF-3477515B66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6CEABC-448B-4543-A03A-45C23A8C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4c8f-bd70-4500-8945-7fd679969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A5327-5C3A-4FC0-9A09-5AB20476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5480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Fragoso</dc:creator>
  <cp:lastModifiedBy>MARIA CAROLINA RAMIREZ BONILLA</cp:lastModifiedBy>
  <cp:revision>2</cp:revision>
  <dcterms:created xsi:type="dcterms:W3CDTF">2022-02-01T14:44:00Z</dcterms:created>
  <dcterms:modified xsi:type="dcterms:W3CDTF">2022-02-01T14:44:00Z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0x010100E13863C6CC9E494BB97D49DEEDC957BD</vt:lpwstr>
  </property>
</Properties>
</file>