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3BEE" w14:textId="3C655E01" w:rsidR="00E60446" w:rsidRDefault="00597B14" w:rsidP="000424E7">
      <w:pPr>
        <w:pStyle w:val="NormalWeb"/>
        <w:tabs>
          <w:tab w:val="left" w:pos="3216"/>
        </w:tabs>
        <w:spacing w:before="0" w:beforeAutospacing="0" w:after="225" w:afterAutospacing="0"/>
        <w:jc w:val="both"/>
        <w:textAlignment w:val="baseline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831FEC3" wp14:editId="47EEF751">
            <wp:simplePos x="0" y="0"/>
            <wp:positionH relativeFrom="page">
              <wp:align>left</wp:align>
            </wp:positionH>
            <wp:positionV relativeFrom="paragraph">
              <wp:posOffset>-1086485</wp:posOffset>
            </wp:positionV>
            <wp:extent cx="7818120" cy="10036175"/>
            <wp:effectExtent l="0" t="0" r="0" b="317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03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24E7">
        <w:rPr>
          <w:rFonts w:ascii="Arial Narrow" w:hAnsi="Arial Narrow" w:cs="Arial"/>
          <w:b/>
          <w:color w:val="000000"/>
          <w:sz w:val="32"/>
          <w:szCs w:val="32"/>
        </w:rPr>
        <w:tab/>
      </w:r>
    </w:p>
    <w:p w14:paraId="070A22A7" w14:textId="494998DB" w:rsidR="00FA678A" w:rsidRDefault="00FA678A" w:rsidP="00EF7C16">
      <w:pPr>
        <w:pStyle w:val="NormalWeb"/>
        <w:spacing w:before="0" w:beforeAutospacing="0" w:after="225" w:afterAutospacing="0"/>
        <w:jc w:val="center"/>
        <w:textAlignment w:val="baseline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 xml:space="preserve">Con </w:t>
      </w:r>
      <w:r w:rsidR="00937F6F">
        <w:rPr>
          <w:rFonts w:ascii="Arial Narrow" w:hAnsi="Arial Narrow" w:cs="Arial"/>
          <w:b/>
          <w:color w:val="000000"/>
          <w:sz w:val="32"/>
          <w:szCs w:val="32"/>
        </w:rPr>
        <w:t xml:space="preserve">la </w:t>
      </w:r>
      <w:r w:rsidR="00692AD6">
        <w:rPr>
          <w:rFonts w:ascii="Arial Narrow" w:hAnsi="Arial Narrow" w:cs="Arial"/>
          <w:b/>
          <w:color w:val="000000"/>
          <w:sz w:val="32"/>
          <w:szCs w:val="32"/>
        </w:rPr>
        <w:t xml:space="preserve">segunda emisión de bonos sociales, </w:t>
      </w:r>
      <w:r w:rsidR="00EF7C16">
        <w:rPr>
          <w:rFonts w:ascii="Arial Narrow" w:hAnsi="Arial Narrow" w:cs="Arial"/>
          <w:b/>
          <w:color w:val="000000"/>
          <w:sz w:val="32"/>
          <w:szCs w:val="32"/>
        </w:rPr>
        <w:t xml:space="preserve">el </w:t>
      </w:r>
      <w:r w:rsidR="00692AD6">
        <w:rPr>
          <w:rFonts w:ascii="Arial Narrow" w:hAnsi="Arial Narrow" w:cs="Arial"/>
          <w:b/>
          <w:color w:val="000000"/>
          <w:sz w:val="32"/>
          <w:szCs w:val="32"/>
        </w:rPr>
        <w:t>ICETEX</w:t>
      </w:r>
      <w:r w:rsidR="00E36E45">
        <w:rPr>
          <w:rFonts w:ascii="Arial Narrow" w:hAnsi="Arial Narrow" w:cs="Arial"/>
          <w:b/>
          <w:color w:val="000000"/>
          <w:sz w:val="32"/>
          <w:szCs w:val="32"/>
        </w:rPr>
        <w:t xml:space="preserve"> </w:t>
      </w:r>
      <w:r w:rsidR="00C25684">
        <w:rPr>
          <w:rFonts w:ascii="Arial Narrow" w:hAnsi="Arial Narrow" w:cs="Arial"/>
          <w:b/>
          <w:color w:val="000000"/>
          <w:sz w:val="32"/>
          <w:szCs w:val="32"/>
        </w:rPr>
        <w:t>brinda</w:t>
      </w:r>
      <w:r w:rsidR="00EF7C16">
        <w:rPr>
          <w:rFonts w:ascii="Arial Narrow" w:hAnsi="Arial Narrow" w:cs="Arial"/>
          <w:b/>
          <w:color w:val="000000"/>
          <w:sz w:val="32"/>
          <w:szCs w:val="32"/>
        </w:rPr>
        <w:t>rá</w:t>
      </w:r>
      <w:r w:rsidR="00C47453">
        <w:rPr>
          <w:rFonts w:ascii="Arial Narrow" w:hAnsi="Arial Narrow" w:cs="Arial"/>
          <w:b/>
          <w:color w:val="000000"/>
          <w:sz w:val="32"/>
          <w:szCs w:val="32"/>
        </w:rPr>
        <w:t xml:space="preserve"> </w:t>
      </w:r>
      <w:r w:rsidR="00EF7C16" w:rsidRPr="00337811">
        <w:rPr>
          <w:rFonts w:ascii="Arial Narrow" w:hAnsi="Arial Narrow" w:cs="Arial"/>
          <w:b/>
          <w:color w:val="000000"/>
          <w:sz w:val="32"/>
          <w:szCs w:val="32"/>
        </w:rPr>
        <w:t>má</w:t>
      </w:r>
      <w:r w:rsidR="00EF7C16">
        <w:rPr>
          <w:rFonts w:ascii="Arial Narrow" w:hAnsi="Arial Narrow" w:cs="Arial"/>
          <w:b/>
          <w:color w:val="000000"/>
          <w:sz w:val="32"/>
          <w:szCs w:val="32"/>
        </w:rPr>
        <w:t xml:space="preserve">s beneficios a </w:t>
      </w:r>
      <w:r w:rsidR="003511D1" w:rsidRPr="00337811">
        <w:rPr>
          <w:rFonts w:ascii="Arial Narrow" w:hAnsi="Arial Narrow" w:cs="Arial"/>
          <w:b/>
          <w:color w:val="000000"/>
          <w:sz w:val="32"/>
          <w:szCs w:val="32"/>
        </w:rPr>
        <w:t>estudiantes colombianos</w:t>
      </w:r>
    </w:p>
    <w:p w14:paraId="04A680A0" w14:textId="0510DD19" w:rsidR="00EF7C16" w:rsidRPr="00EF7C16" w:rsidRDefault="00EF7C16" w:rsidP="00BE35E6">
      <w:pPr>
        <w:pStyle w:val="NormalWeb"/>
        <w:numPr>
          <w:ilvl w:val="0"/>
          <w:numId w:val="2"/>
        </w:numPr>
        <w:spacing w:before="0" w:beforeAutospacing="0" w:after="225" w:afterAutospacing="0"/>
        <w:jc w:val="both"/>
        <w:textAlignment w:val="baseline"/>
        <w:rPr>
          <w:rFonts w:ascii="Arial Narrow" w:hAnsi="Arial Narrow" w:cs="Arial"/>
          <w:b/>
          <w:i/>
          <w:color w:val="000000"/>
          <w:sz w:val="22"/>
          <w:szCs w:val="22"/>
        </w:rPr>
      </w:pPr>
      <w:r w:rsidRPr="00EF7C16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La </w:t>
      </w:r>
      <w:r w:rsidR="001F0CA6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demanda total de la </w:t>
      </w:r>
      <w:r w:rsidRPr="00EF7C16">
        <w:rPr>
          <w:rFonts w:ascii="Arial Narrow" w:hAnsi="Arial Narrow" w:cs="Arial"/>
          <w:b/>
          <w:i/>
          <w:color w:val="000000"/>
          <w:sz w:val="22"/>
          <w:szCs w:val="22"/>
        </w:rPr>
        <w:t>emisión de bo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nos sociales </w:t>
      </w:r>
      <w:r w:rsidR="001F0CA6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del ICETEX se situó </w:t>
      </w:r>
      <w:r w:rsidR="00215CEB">
        <w:rPr>
          <w:rFonts w:ascii="Arial Narrow" w:hAnsi="Arial Narrow" w:cs="Arial"/>
          <w:b/>
          <w:i/>
          <w:color w:val="000000"/>
          <w:sz w:val="22"/>
          <w:szCs w:val="22"/>
        </w:rPr>
        <w:t>sobre los</w:t>
      </w:r>
      <w:r w:rsidR="001F0CA6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  <w:proofErr w:type="gramStart"/>
      <w:r w:rsidR="00215CEB">
        <w:rPr>
          <w:rFonts w:ascii="Arial Narrow" w:hAnsi="Arial Narrow" w:cs="Arial"/>
          <w:b/>
          <w:i/>
          <w:color w:val="000000"/>
          <w:sz w:val="22"/>
          <w:szCs w:val="22"/>
        </w:rPr>
        <w:t>428.728</w:t>
      </w:r>
      <w:r w:rsidR="00E443A8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millones</w:t>
      </w:r>
      <w:proofErr w:type="gramEnd"/>
      <w:r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de pesos</w:t>
      </w:r>
      <w:r w:rsidR="00215CEB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y un </w:t>
      </w:r>
      <w:proofErr w:type="spellStart"/>
      <w:r w:rsidR="00215CEB" w:rsidRPr="00215CEB">
        <w:rPr>
          <w:rFonts w:ascii="Arial Narrow" w:hAnsi="Arial Narrow" w:cs="Arial"/>
          <w:b/>
          <w:i/>
          <w:color w:val="000000"/>
          <w:sz w:val="22"/>
          <w:szCs w:val="22"/>
        </w:rPr>
        <w:t>Bid</w:t>
      </w:r>
      <w:proofErr w:type="spellEnd"/>
      <w:r w:rsidR="00215CEB" w:rsidRPr="00215CEB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215CEB" w:rsidRPr="00215CEB">
        <w:rPr>
          <w:rFonts w:ascii="Arial Narrow" w:hAnsi="Arial Narrow" w:cs="Arial"/>
          <w:b/>
          <w:i/>
          <w:color w:val="000000"/>
          <w:sz w:val="22"/>
          <w:szCs w:val="22"/>
        </w:rPr>
        <w:t>to</w:t>
      </w:r>
      <w:proofErr w:type="spellEnd"/>
      <w:r w:rsidR="00215CEB" w:rsidRPr="00215CEB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215CEB" w:rsidRPr="00215CEB">
        <w:rPr>
          <w:rFonts w:ascii="Arial Narrow" w:hAnsi="Arial Narrow" w:cs="Arial"/>
          <w:b/>
          <w:i/>
          <w:color w:val="000000"/>
          <w:sz w:val="22"/>
          <w:szCs w:val="22"/>
        </w:rPr>
        <w:t>Cover</w:t>
      </w:r>
      <w:proofErr w:type="spellEnd"/>
      <w:r w:rsidR="00215CEB" w:rsidRPr="00215CEB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del 2.86</w:t>
      </w:r>
      <w:r w:rsidR="00215CEB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</w:p>
    <w:p w14:paraId="32EAECC9" w14:textId="4590D0CF" w:rsidR="0084376C" w:rsidRPr="00925BB4" w:rsidRDefault="00E566C5" w:rsidP="00BE35E6">
      <w:pPr>
        <w:pStyle w:val="NormalWeb"/>
        <w:numPr>
          <w:ilvl w:val="0"/>
          <w:numId w:val="2"/>
        </w:numPr>
        <w:spacing w:before="0" w:beforeAutospacing="0" w:after="225" w:afterAutospacing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925BB4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El </w:t>
      </w:r>
      <w:r w:rsidR="00E456F9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>100% de los recursos de los bonos sociales 2021</w:t>
      </w:r>
      <w:r w:rsidR="00013F66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  <w:r w:rsidR="00E456F9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serán </w:t>
      </w:r>
      <w:r w:rsidR="00D637B3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invertidos en </w:t>
      </w:r>
      <w:r w:rsidR="001652AD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>renovaciones</w:t>
      </w:r>
      <w:r w:rsidR="003A31A3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>,</w:t>
      </w:r>
      <w:r w:rsidR="001652AD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  <w:r w:rsidR="003A31A3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asignación de </w:t>
      </w:r>
      <w:r w:rsidR="001652AD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>nuevos créditos educativos</w:t>
      </w:r>
      <w:r w:rsidR="00277359">
        <w:rPr>
          <w:rFonts w:ascii="Arial Narrow" w:hAnsi="Arial Narrow" w:cs="Arial"/>
          <w:b/>
          <w:i/>
          <w:color w:val="000000"/>
          <w:sz w:val="22"/>
          <w:szCs w:val="22"/>
        </w:rPr>
        <w:t>, lo que facilitará</w:t>
      </w:r>
      <w:r w:rsidR="001963B8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  <w:r w:rsidR="00F13ED0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>la reducción</w:t>
      </w:r>
      <w:r w:rsidR="001963B8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  <w:r w:rsidR="00EF7C16">
        <w:rPr>
          <w:rFonts w:ascii="Arial Narrow" w:hAnsi="Arial Narrow" w:cs="Arial"/>
          <w:b/>
          <w:i/>
          <w:color w:val="000000"/>
          <w:sz w:val="22"/>
          <w:szCs w:val="22"/>
        </w:rPr>
        <w:t>de</w:t>
      </w:r>
      <w:r w:rsidR="00F13ED0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</w:t>
      </w:r>
      <w:r w:rsidR="00277359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las </w:t>
      </w:r>
      <w:r w:rsidR="00F13ED0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>tasas de interés</w:t>
      </w:r>
      <w:r w:rsidR="00E443A8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a los usuarios</w:t>
      </w:r>
      <w:r w:rsidR="00F13ED0" w:rsidRPr="00925BB4">
        <w:rPr>
          <w:rFonts w:ascii="Arial Narrow" w:hAnsi="Arial Narrow" w:cs="Arial"/>
          <w:b/>
          <w:i/>
          <w:color w:val="000000"/>
          <w:sz w:val="22"/>
          <w:szCs w:val="22"/>
        </w:rPr>
        <w:t>.</w:t>
      </w:r>
    </w:p>
    <w:p w14:paraId="579C3063" w14:textId="568CAF24" w:rsidR="00AE78F9" w:rsidRPr="00A21EC4" w:rsidRDefault="009D344A" w:rsidP="009D344A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</w:rPr>
      </w:pPr>
      <w:r w:rsidRPr="00A21EC4">
        <w:rPr>
          <w:rStyle w:val="Textoennegrita"/>
          <w:rFonts w:ascii="Arial Narrow" w:eastAsia="Calibri" w:hAnsi="Arial Narrow" w:cs="Arial"/>
          <w:color w:val="000000"/>
        </w:rPr>
        <w:t>Bogotá D.C., 1</w:t>
      </w:r>
      <w:r w:rsidR="0000697C" w:rsidRPr="00A21EC4">
        <w:rPr>
          <w:rStyle w:val="Textoennegrita"/>
          <w:rFonts w:ascii="Arial Narrow" w:hAnsi="Arial Narrow" w:cs="Arial"/>
          <w:color w:val="000000"/>
          <w:bdr w:val="none" w:sz="0" w:space="0" w:color="auto" w:frame="1"/>
        </w:rPr>
        <w:t>5</w:t>
      </w:r>
      <w:r w:rsidRPr="00A21EC4">
        <w:rPr>
          <w:rStyle w:val="Textoennegrita"/>
          <w:rFonts w:ascii="Arial Narrow" w:eastAsia="Calibri" w:hAnsi="Arial Narrow" w:cs="Arial"/>
          <w:color w:val="000000"/>
        </w:rPr>
        <w:t xml:space="preserve"> de diciembre de 202</w:t>
      </w:r>
      <w:r w:rsidR="0000697C" w:rsidRPr="00A21EC4">
        <w:rPr>
          <w:rStyle w:val="Textoennegrita"/>
          <w:rFonts w:ascii="Arial Narrow" w:hAnsi="Arial Narrow" w:cs="Arial"/>
          <w:color w:val="000000"/>
          <w:bdr w:val="none" w:sz="0" w:space="0" w:color="auto" w:frame="1"/>
        </w:rPr>
        <w:t>1</w:t>
      </w:r>
      <w:r w:rsidRPr="00A21EC4">
        <w:rPr>
          <w:rStyle w:val="Textoennegrita"/>
          <w:rFonts w:ascii="Arial Narrow" w:eastAsia="Calibri" w:hAnsi="Arial Narrow" w:cs="Arial"/>
          <w:color w:val="000000"/>
        </w:rPr>
        <w:t>.</w:t>
      </w:r>
      <w:r w:rsidRPr="00A21EC4">
        <w:rPr>
          <w:rFonts w:ascii="Arial Narrow" w:hAnsi="Arial Narrow" w:cs="Arial"/>
          <w:color w:val="000000"/>
        </w:rPr>
        <w:t> </w:t>
      </w:r>
      <w:r w:rsidR="00AE5EEA" w:rsidRPr="00A21EC4">
        <w:rPr>
          <w:rFonts w:ascii="Arial Narrow" w:hAnsi="Arial Narrow" w:cs="Arial"/>
          <w:color w:val="000000"/>
        </w:rPr>
        <w:t>Por segundo año consecutivo ICETEX recibe la confianza de los inversionistas colombianos</w:t>
      </w:r>
      <w:r w:rsidR="00AE78F9" w:rsidRPr="00A21EC4">
        <w:rPr>
          <w:rFonts w:ascii="Arial Narrow" w:hAnsi="Arial Narrow" w:cs="Arial"/>
          <w:color w:val="000000"/>
        </w:rPr>
        <w:t xml:space="preserve">, al </w:t>
      </w:r>
      <w:r w:rsidR="00215CEB">
        <w:rPr>
          <w:rFonts w:ascii="Arial Narrow" w:hAnsi="Arial Narrow" w:cs="Arial"/>
          <w:color w:val="000000"/>
        </w:rPr>
        <w:t>adjudic</w:t>
      </w:r>
      <w:r w:rsidR="00AE78F9" w:rsidRPr="00A21EC4">
        <w:rPr>
          <w:rFonts w:ascii="Arial Narrow" w:hAnsi="Arial Narrow" w:cs="Arial"/>
          <w:color w:val="000000"/>
        </w:rPr>
        <w:t xml:space="preserve">ar bonos sociales por </w:t>
      </w:r>
      <w:r w:rsidR="001F0CA6" w:rsidRPr="00285C1A">
        <w:rPr>
          <w:rFonts w:ascii="Arial Narrow" w:hAnsi="Arial Narrow" w:cs="Arial"/>
          <w:b/>
          <w:bCs/>
          <w:color w:val="000000"/>
        </w:rPr>
        <w:t>292.724</w:t>
      </w:r>
      <w:r w:rsidR="00AE78F9" w:rsidRPr="00A21EC4">
        <w:rPr>
          <w:rFonts w:ascii="Arial Narrow" w:hAnsi="Arial Narrow" w:cs="Arial"/>
          <w:color w:val="000000"/>
        </w:rPr>
        <w:t xml:space="preserve"> millones de pesos </w:t>
      </w:r>
      <w:r w:rsidR="00D518EE" w:rsidRPr="00A21EC4">
        <w:rPr>
          <w:rFonts w:ascii="Arial Narrow" w:hAnsi="Arial Narrow" w:cs="Arial"/>
          <w:color w:val="000000"/>
        </w:rPr>
        <w:t xml:space="preserve">para financiación de </w:t>
      </w:r>
      <w:r w:rsidR="00EF7C16">
        <w:rPr>
          <w:rFonts w:ascii="Arial Narrow" w:hAnsi="Arial Narrow" w:cs="Arial"/>
          <w:color w:val="000000"/>
        </w:rPr>
        <w:t xml:space="preserve">la </w:t>
      </w:r>
      <w:r w:rsidR="00D518EE" w:rsidRPr="00A21EC4">
        <w:rPr>
          <w:rFonts w:ascii="Arial Narrow" w:hAnsi="Arial Narrow" w:cs="Arial"/>
          <w:color w:val="000000"/>
        </w:rPr>
        <w:t>educación superior.</w:t>
      </w:r>
    </w:p>
    <w:p w14:paraId="7BAFF7B3" w14:textId="77777777" w:rsidR="00AE78F9" w:rsidRPr="00A21EC4" w:rsidRDefault="00AE78F9" w:rsidP="009D344A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</w:rPr>
      </w:pPr>
    </w:p>
    <w:p w14:paraId="4377C4CB" w14:textId="34E1884E" w:rsidR="00D44170" w:rsidRDefault="002B055B" w:rsidP="002B055B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6024BF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Los recursos provenientes de la colocación de la Emisión serán destinados en un ciento por ciento (100%) para la colocación de Renovaciones y Créditos Nuevos de fomento educativo bajo las líneas de crédito del programa Tú Eliges “Pregrado”, “Especiales” y “Posgrado y Exterior”, dando a su vez cumplimiento a los criterios y procesos definidos en el marco de referencia de la Segunda Emisión de Bonos Sociales del I</w:t>
      </w:r>
      <w:r w:rsidR="00335681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CETEX</w:t>
      </w:r>
      <w:r w:rsidRPr="006024BF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 con fundamento en los Principios de Bonos Sociales de la International Capital </w:t>
      </w:r>
      <w:proofErr w:type="spellStart"/>
      <w:r w:rsidRPr="006024BF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Market</w:t>
      </w:r>
      <w:proofErr w:type="spellEnd"/>
      <w:r w:rsidRPr="006024BF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Pr="006024BF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Association</w:t>
      </w:r>
      <w:proofErr w:type="spellEnd"/>
      <w:r w:rsidR="00937F6F" w:rsidRPr="006024BF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(ICMA)</w:t>
      </w:r>
      <w:r w:rsidRPr="006024BF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.</w:t>
      </w:r>
    </w:p>
    <w:p w14:paraId="7DC4CAE7" w14:textId="59EA80CE" w:rsidR="00D44170" w:rsidRDefault="00D44170" w:rsidP="00D44170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En este sentido, con</w:t>
      </w:r>
      <w:r w:rsidRPr="00AB5969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 los recursos obtenidos este año ICETEX financiará el otorgamiento y la renovación de los créditos educativos en 2022</w:t>
      </w:r>
      <w:r w:rsidR="00937F6F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,</w:t>
      </w:r>
      <w:r w:rsidR="001F6170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 lo que</w:t>
      </w:r>
      <w:r w:rsidRPr="00AB5969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 </w:t>
      </w:r>
      <w:r w:rsidR="00920AB8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facilitará</w:t>
      </w:r>
      <w:r w:rsidRPr="00AB5969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 la reducción de las tasas de interés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 para sus beneficiarios.</w:t>
      </w:r>
    </w:p>
    <w:p w14:paraId="2B528DB7" w14:textId="511005D1" w:rsidR="007403CC" w:rsidRPr="00A21EC4" w:rsidRDefault="00EC3376" w:rsidP="009D344A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</w:rPr>
      </w:pPr>
      <w:r w:rsidRPr="00A21EC4">
        <w:rPr>
          <w:rFonts w:ascii="Arial Narrow" w:hAnsi="Arial Narrow" w:cs="Arial"/>
          <w:color w:val="000000"/>
        </w:rPr>
        <w:t xml:space="preserve">La iniciativa </w:t>
      </w:r>
      <w:r w:rsidR="00BB1C46" w:rsidRPr="00A21EC4">
        <w:rPr>
          <w:rFonts w:ascii="Arial Narrow" w:hAnsi="Arial Narrow" w:cs="Arial"/>
          <w:color w:val="000000"/>
        </w:rPr>
        <w:t xml:space="preserve">realizada dentro del proceso de transformación y fortalecimiento de la </w:t>
      </w:r>
      <w:r w:rsidR="00937F6F" w:rsidRPr="00A21EC4">
        <w:rPr>
          <w:rFonts w:ascii="Arial Narrow" w:hAnsi="Arial Narrow" w:cs="Arial"/>
          <w:color w:val="000000"/>
        </w:rPr>
        <w:t>entidad</w:t>
      </w:r>
      <w:r w:rsidR="00BB1C46" w:rsidRPr="00A21EC4">
        <w:rPr>
          <w:rFonts w:ascii="Arial Narrow" w:hAnsi="Arial Narrow" w:cs="Arial"/>
          <w:color w:val="000000"/>
        </w:rPr>
        <w:t xml:space="preserve"> </w:t>
      </w:r>
      <w:r w:rsidR="00D3697D" w:rsidRPr="00A21EC4">
        <w:rPr>
          <w:rFonts w:ascii="Arial Narrow" w:hAnsi="Arial Narrow" w:cs="Arial"/>
          <w:color w:val="000000"/>
        </w:rPr>
        <w:t xml:space="preserve">encontró de la mano de los inversionistas colombianos </w:t>
      </w:r>
      <w:r w:rsidR="00E7787E" w:rsidRPr="00A21EC4">
        <w:rPr>
          <w:rFonts w:ascii="Arial Narrow" w:hAnsi="Arial Narrow" w:cs="Arial"/>
          <w:color w:val="000000"/>
        </w:rPr>
        <w:t xml:space="preserve">nuevas fuentes de recursos </w:t>
      </w:r>
      <w:r w:rsidR="00937F6F">
        <w:rPr>
          <w:rFonts w:ascii="Arial Narrow" w:hAnsi="Arial Narrow" w:cs="Arial"/>
          <w:color w:val="000000"/>
        </w:rPr>
        <w:t xml:space="preserve">en el mercado de capitales </w:t>
      </w:r>
      <w:r w:rsidR="00E7787E" w:rsidRPr="00A21EC4">
        <w:rPr>
          <w:rFonts w:ascii="Arial Narrow" w:hAnsi="Arial Narrow" w:cs="Arial"/>
          <w:color w:val="000000"/>
        </w:rPr>
        <w:t xml:space="preserve">para financiar sus programas de acceso a educación superior y garantizar </w:t>
      </w:r>
      <w:r w:rsidR="006410F5" w:rsidRPr="00A21EC4">
        <w:rPr>
          <w:rFonts w:ascii="Arial Narrow" w:hAnsi="Arial Narrow" w:cs="Arial"/>
          <w:color w:val="000000"/>
        </w:rPr>
        <w:t xml:space="preserve">mayores beneficios </w:t>
      </w:r>
      <w:r w:rsidR="00520230">
        <w:rPr>
          <w:rFonts w:ascii="Arial Narrow" w:hAnsi="Arial Narrow" w:cs="Arial"/>
          <w:color w:val="000000"/>
        </w:rPr>
        <w:t xml:space="preserve">en términos de </w:t>
      </w:r>
      <w:r w:rsidR="00AE383F" w:rsidRPr="00A21EC4">
        <w:rPr>
          <w:rFonts w:ascii="Arial Narrow" w:hAnsi="Arial Narrow" w:cs="Arial"/>
          <w:color w:val="000000"/>
        </w:rPr>
        <w:t>costo</w:t>
      </w:r>
      <w:r w:rsidR="00520230">
        <w:rPr>
          <w:rFonts w:ascii="Arial Narrow" w:hAnsi="Arial Narrow" w:cs="Arial"/>
          <w:color w:val="000000"/>
        </w:rPr>
        <w:t>s</w:t>
      </w:r>
      <w:r w:rsidR="00864332">
        <w:rPr>
          <w:rFonts w:ascii="Arial Narrow" w:hAnsi="Arial Narrow" w:cs="Arial"/>
          <w:color w:val="000000"/>
        </w:rPr>
        <w:t xml:space="preserve"> para los </w:t>
      </w:r>
      <w:r w:rsidR="00520230">
        <w:rPr>
          <w:rFonts w:ascii="Arial Narrow" w:hAnsi="Arial Narrow" w:cs="Arial"/>
          <w:color w:val="000000"/>
        </w:rPr>
        <w:t>estudi</w:t>
      </w:r>
      <w:r w:rsidR="00EE2E53">
        <w:rPr>
          <w:rFonts w:ascii="Arial Narrow" w:hAnsi="Arial Narrow" w:cs="Arial"/>
          <w:color w:val="000000"/>
        </w:rPr>
        <w:t>a</w:t>
      </w:r>
      <w:r w:rsidR="00520230">
        <w:rPr>
          <w:rFonts w:ascii="Arial Narrow" w:hAnsi="Arial Narrow" w:cs="Arial"/>
          <w:color w:val="000000"/>
        </w:rPr>
        <w:t>ntes</w:t>
      </w:r>
      <w:r w:rsidR="00AE383F" w:rsidRPr="00A21EC4">
        <w:rPr>
          <w:rFonts w:ascii="Arial Narrow" w:hAnsi="Arial Narrow" w:cs="Arial"/>
          <w:color w:val="000000"/>
        </w:rPr>
        <w:t>.</w:t>
      </w:r>
    </w:p>
    <w:p w14:paraId="7FA4E501" w14:textId="77777777" w:rsidR="001718BA" w:rsidRPr="00A21EC4" w:rsidRDefault="001718BA" w:rsidP="009D344A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</w:rPr>
      </w:pPr>
    </w:p>
    <w:p w14:paraId="52133C57" w14:textId="7E7DB5BD" w:rsidR="00EF7C16" w:rsidRDefault="00EE2E53" w:rsidP="002C39D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Esta nueva </w:t>
      </w:r>
      <w:r w:rsidR="00602154" w:rsidRPr="00A21EC4">
        <w:rPr>
          <w:rFonts w:ascii="Arial Narrow" w:hAnsi="Arial Narrow"/>
          <w:sz w:val="24"/>
          <w:szCs w:val="24"/>
        </w:rPr>
        <w:t xml:space="preserve">fuente de fondeo le permitirá a ICETEX </w:t>
      </w:r>
      <w:r>
        <w:rPr>
          <w:rFonts w:ascii="Arial Narrow" w:hAnsi="Arial Narrow"/>
          <w:sz w:val="24"/>
          <w:szCs w:val="24"/>
        </w:rPr>
        <w:t>acceder</w:t>
      </w:r>
      <w:r w:rsidRPr="00A21EC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 </w:t>
      </w:r>
      <w:r w:rsidR="00602154" w:rsidRPr="00A21EC4">
        <w:rPr>
          <w:rFonts w:ascii="Arial Narrow" w:hAnsi="Arial Narrow"/>
          <w:sz w:val="24"/>
          <w:szCs w:val="24"/>
        </w:rPr>
        <w:t>recursos</w:t>
      </w:r>
      <w:r>
        <w:rPr>
          <w:rFonts w:ascii="Arial Narrow" w:hAnsi="Arial Narrow"/>
          <w:sz w:val="24"/>
          <w:szCs w:val="24"/>
        </w:rPr>
        <w:t xml:space="preserve"> frescos</w:t>
      </w:r>
      <w:r w:rsidR="00602154" w:rsidRPr="00A21EC4">
        <w:rPr>
          <w:rFonts w:ascii="Arial Narrow" w:hAnsi="Arial Narrow"/>
          <w:sz w:val="24"/>
          <w:szCs w:val="24"/>
        </w:rPr>
        <w:t xml:space="preserve"> y contar con </w:t>
      </w:r>
      <w:r w:rsidR="004E2935">
        <w:rPr>
          <w:rFonts w:ascii="Arial Narrow" w:hAnsi="Arial Narrow"/>
          <w:sz w:val="24"/>
          <w:szCs w:val="24"/>
        </w:rPr>
        <w:t xml:space="preserve">apoyo </w:t>
      </w:r>
      <w:r>
        <w:rPr>
          <w:rFonts w:ascii="Arial Narrow" w:hAnsi="Arial Narrow"/>
          <w:sz w:val="24"/>
          <w:szCs w:val="24"/>
        </w:rPr>
        <w:t xml:space="preserve">del sistema </w:t>
      </w:r>
      <w:r w:rsidR="004E2935">
        <w:rPr>
          <w:rFonts w:ascii="Arial Narrow" w:hAnsi="Arial Narrow"/>
          <w:sz w:val="24"/>
          <w:szCs w:val="24"/>
        </w:rPr>
        <w:t xml:space="preserve">financiero </w:t>
      </w:r>
      <w:r w:rsidR="00602154" w:rsidRPr="00A21EC4">
        <w:rPr>
          <w:rFonts w:ascii="Arial Narrow" w:hAnsi="Arial Narrow"/>
          <w:sz w:val="24"/>
          <w:szCs w:val="24"/>
        </w:rPr>
        <w:t>para ampliar su programa de créditos,</w:t>
      </w:r>
      <w:r>
        <w:rPr>
          <w:rFonts w:ascii="Arial Narrow" w:hAnsi="Arial Narrow"/>
          <w:sz w:val="24"/>
          <w:szCs w:val="24"/>
        </w:rPr>
        <w:t xml:space="preserve"> focalizando a </w:t>
      </w:r>
      <w:r w:rsidR="00EF7C16">
        <w:rPr>
          <w:rFonts w:ascii="Arial Narrow" w:hAnsi="Arial Narrow"/>
          <w:sz w:val="24"/>
          <w:szCs w:val="24"/>
        </w:rPr>
        <w:t>estudiantes</w:t>
      </w:r>
      <w:r w:rsidR="00602154" w:rsidRPr="00A21EC4">
        <w:rPr>
          <w:rFonts w:ascii="Arial Narrow" w:hAnsi="Arial Narrow"/>
          <w:sz w:val="24"/>
          <w:szCs w:val="24"/>
        </w:rPr>
        <w:t xml:space="preserve"> </w:t>
      </w:r>
      <w:r w:rsidR="007315F3" w:rsidRPr="00A21EC4">
        <w:rPr>
          <w:rFonts w:ascii="Arial Narrow" w:hAnsi="Arial Narrow"/>
          <w:sz w:val="24"/>
          <w:szCs w:val="24"/>
        </w:rPr>
        <w:t xml:space="preserve">de </w:t>
      </w:r>
      <w:r w:rsidR="00EA15B7" w:rsidRPr="00A21EC4">
        <w:rPr>
          <w:rFonts w:ascii="Arial Narrow" w:hAnsi="Arial Narrow"/>
          <w:sz w:val="24"/>
          <w:szCs w:val="24"/>
        </w:rPr>
        <w:t xml:space="preserve">bajos recursos </w:t>
      </w:r>
      <w:r w:rsidR="00EF7C16">
        <w:rPr>
          <w:rFonts w:ascii="Arial Narrow" w:hAnsi="Arial Narrow"/>
          <w:sz w:val="24"/>
          <w:szCs w:val="24"/>
        </w:rPr>
        <w:t>económicos y en situación de vulnerabilidad.</w:t>
      </w:r>
    </w:p>
    <w:p w14:paraId="5915DBEE" w14:textId="77777777" w:rsidR="007B02EC" w:rsidRDefault="007B02EC" w:rsidP="007B02EC">
      <w:pPr>
        <w:jc w:val="both"/>
        <w:rPr>
          <w:rFonts w:ascii="Arial Narrow" w:hAnsi="Arial Narrow"/>
          <w:sz w:val="24"/>
          <w:szCs w:val="24"/>
        </w:rPr>
      </w:pPr>
      <w:r w:rsidRPr="00787D79">
        <w:rPr>
          <w:rFonts w:ascii="Arial Narrow" w:hAnsi="Arial Narrow"/>
          <w:sz w:val="24"/>
          <w:szCs w:val="24"/>
        </w:rPr>
        <w:t xml:space="preserve">Para Juan Pablo Córdoba, presidente de </w:t>
      </w:r>
      <w:r>
        <w:rPr>
          <w:rFonts w:ascii="Arial Narrow" w:hAnsi="Arial Narrow"/>
          <w:sz w:val="24"/>
          <w:szCs w:val="24"/>
        </w:rPr>
        <w:t>Bolsa de Valores de Colombia (</w:t>
      </w:r>
      <w:proofErr w:type="spellStart"/>
      <w:r w:rsidRPr="00787D79">
        <w:rPr>
          <w:rFonts w:ascii="Arial Narrow" w:hAnsi="Arial Narrow"/>
          <w:sz w:val="24"/>
          <w:szCs w:val="24"/>
        </w:rPr>
        <w:t>bvc</w:t>
      </w:r>
      <w:proofErr w:type="spellEnd"/>
      <w:r>
        <w:rPr>
          <w:rFonts w:ascii="Arial Narrow" w:hAnsi="Arial Narrow"/>
          <w:sz w:val="24"/>
          <w:szCs w:val="24"/>
        </w:rPr>
        <w:t>)</w:t>
      </w:r>
      <w:r w:rsidRPr="00787D79">
        <w:rPr>
          <w:rFonts w:ascii="Arial Narrow" w:hAnsi="Arial Narrow"/>
          <w:sz w:val="24"/>
          <w:szCs w:val="24"/>
        </w:rPr>
        <w:t>, los resultados de esta emisión de bonos sociales de I</w:t>
      </w:r>
      <w:r>
        <w:rPr>
          <w:rFonts w:ascii="Arial Narrow" w:hAnsi="Arial Narrow"/>
          <w:sz w:val="24"/>
          <w:szCs w:val="24"/>
        </w:rPr>
        <w:t>CETEX</w:t>
      </w:r>
      <w:r w:rsidRPr="00787D79">
        <w:rPr>
          <w:rFonts w:ascii="Arial Narrow" w:hAnsi="Arial Narrow"/>
          <w:sz w:val="24"/>
          <w:szCs w:val="24"/>
        </w:rPr>
        <w:t>, “demuestra que hay un interés genuino de los inversionistas por generar un impacto positivo en la sociedad a través de mejoras en las condiciones de crédito de los jóvenes. Ese es el verdadero éxito de este tipo de operaciones”.</w:t>
      </w:r>
    </w:p>
    <w:p w14:paraId="1ABC925F" w14:textId="77777777" w:rsidR="007B02EC" w:rsidRDefault="007B02EC" w:rsidP="00FE0092">
      <w:pPr>
        <w:jc w:val="both"/>
        <w:rPr>
          <w:rFonts w:ascii="Arial Narrow" w:hAnsi="Arial Narrow"/>
          <w:sz w:val="24"/>
          <w:szCs w:val="24"/>
        </w:rPr>
      </w:pPr>
    </w:p>
    <w:p w14:paraId="19F49210" w14:textId="77777777" w:rsidR="007B02EC" w:rsidRDefault="007B02EC" w:rsidP="00FE0092">
      <w:pPr>
        <w:jc w:val="both"/>
        <w:rPr>
          <w:rFonts w:ascii="Arial Narrow" w:hAnsi="Arial Narrow"/>
          <w:sz w:val="24"/>
          <w:szCs w:val="24"/>
        </w:rPr>
      </w:pPr>
    </w:p>
    <w:p w14:paraId="0FC3B566" w14:textId="77777777" w:rsidR="007B02EC" w:rsidRDefault="007B02EC" w:rsidP="00FE0092">
      <w:pPr>
        <w:jc w:val="both"/>
        <w:rPr>
          <w:rFonts w:ascii="Arial Narrow" w:hAnsi="Arial Narrow"/>
          <w:sz w:val="24"/>
          <w:szCs w:val="24"/>
        </w:rPr>
      </w:pPr>
    </w:p>
    <w:p w14:paraId="03CFDE27" w14:textId="77777777" w:rsidR="007B02EC" w:rsidRDefault="007B02EC" w:rsidP="00FE0092">
      <w:pPr>
        <w:jc w:val="both"/>
        <w:rPr>
          <w:rFonts w:ascii="Arial Narrow" w:hAnsi="Arial Narrow"/>
          <w:sz w:val="24"/>
          <w:szCs w:val="24"/>
        </w:rPr>
      </w:pPr>
    </w:p>
    <w:p w14:paraId="464B2454" w14:textId="32139B8C" w:rsidR="007B02EC" w:rsidRDefault="007B02EC" w:rsidP="00FE0092">
      <w:pPr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hidden="0" allowOverlap="1" wp14:anchorId="71F2043F" wp14:editId="3B900703">
            <wp:simplePos x="0" y="0"/>
            <wp:positionH relativeFrom="page">
              <wp:posOffset>32882</wp:posOffset>
            </wp:positionH>
            <wp:positionV relativeFrom="paragraph">
              <wp:posOffset>-910452</wp:posOffset>
            </wp:positionV>
            <wp:extent cx="7818120" cy="10036175"/>
            <wp:effectExtent l="0" t="0" r="0" b="3175"/>
            <wp:wrapNone/>
            <wp:docPr id="2" name="image1.png" descr="Interfaz de usuario gráfica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nterfaz de usuario gráfica&#10;&#10;Descripción generada automáticamente con confianza 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03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6F010B" w14:textId="77777777" w:rsidR="007B02EC" w:rsidRDefault="007B02EC" w:rsidP="00FE0092">
      <w:pPr>
        <w:jc w:val="both"/>
        <w:rPr>
          <w:rFonts w:ascii="Arial Narrow" w:hAnsi="Arial Narrow"/>
          <w:sz w:val="24"/>
          <w:szCs w:val="24"/>
        </w:rPr>
      </w:pPr>
    </w:p>
    <w:p w14:paraId="1C2E59CD" w14:textId="675B3BD7" w:rsidR="00FE0092" w:rsidRDefault="008F5CFD" w:rsidP="00FE0092">
      <w:pPr>
        <w:jc w:val="both"/>
        <w:rPr>
          <w:rFonts w:ascii="Arial Narrow" w:hAnsi="Arial Narrow"/>
          <w:sz w:val="24"/>
          <w:szCs w:val="24"/>
        </w:rPr>
      </w:pPr>
      <w:r w:rsidRPr="006024BF">
        <w:rPr>
          <w:rFonts w:ascii="Arial Narrow" w:hAnsi="Arial Narrow"/>
          <w:sz w:val="24"/>
          <w:szCs w:val="24"/>
        </w:rPr>
        <w:t>“</w:t>
      </w:r>
      <w:r w:rsidR="00FE0092" w:rsidRPr="006024BF">
        <w:rPr>
          <w:rFonts w:ascii="Arial Narrow" w:hAnsi="Arial Narrow"/>
          <w:sz w:val="24"/>
          <w:szCs w:val="24"/>
        </w:rPr>
        <w:t xml:space="preserve">El resultado de </w:t>
      </w:r>
      <w:r w:rsidR="008902EC" w:rsidRPr="006024BF">
        <w:rPr>
          <w:rFonts w:ascii="Arial Narrow" w:hAnsi="Arial Narrow"/>
          <w:sz w:val="24"/>
          <w:szCs w:val="24"/>
        </w:rPr>
        <w:t>la</w:t>
      </w:r>
      <w:r w:rsidR="00FE0092" w:rsidRPr="006024BF">
        <w:rPr>
          <w:rFonts w:ascii="Arial Narrow" w:hAnsi="Arial Narrow"/>
          <w:sz w:val="24"/>
          <w:szCs w:val="24"/>
        </w:rPr>
        <w:t xml:space="preserve"> segun</w:t>
      </w:r>
      <w:r w:rsidR="00EF7C16" w:rsidRPr="006024BF">
        <w:rPr>
          <w:rFonts w:ascii="Arial Narrow" w:hAnsi="Arial Narrow"/>
          <w:sz w:val="24"/>
          <w:szCs w:val="24"/>
        </w:rPr>
        <w:t>da emisión de bonos sociales da</w:t>
      </w:r>
      <w:r w:rsidR="00FE0092" w:rsidRPr="006024BF">
        <w:rPr>
          <w:rFonts w:ascii="Arial Narrow" w:hAnsi="Arial Narrow"/>
          <w:sz w:val="24"/>
          <w:szCs w:val="24"/>
        </w:rPr>
        <w:t xml:space="preserve"> cuenta </w:t>
      </w:r>
      <w:r w:rsidR="00F66ED9" w:rsidRPr="006024BF">
        <w:rPr>
          <w:rFonts w:ascii="Arial Narrow" w:hAnsi="Arial Narrow"/>
          <w:sz w:val="24"/>
          <w:szCs w:val="24"/>
        </w:rPr>
        <w:t>del</w:t>
      </w:r>
      <w:r w:rsidR="00FE0092" w:rsidRPr="006024BF">
        <w:rPr>
          <w:rFonts w:ascii="Arial Narrow" w:hAnsi="Arial Narrow"/>
          <w:sz w:val="24"/>
          <w:szCs w:val="24"/>
        </w:rPr>
        <w:t xml:space="preserve"> respaldo a la gestión </w:t>
      </w:r>
      <w:r w:rsidR="00EF7C16" w:rsidRPr="006024BF">
        <w:rPr>
          <w:rFonts w:ascii="Arial Narrow" w:hAnsi="Arial Narrow"/>
          <w:sz w:val="24"/>
          <w:szCs w:val="24"/>
        </w:rPr>
        <w:t>y transformación del I</w:t>
      </w:r>
      <w:r w:rsidR="00FE0092" w:rsidRPr="006024BF">
        <w:rPr>
          <w:rFonts w:ascii="Arial Narrow" w:hAnsi="Arial Narrow"/>
          <w:sz w:val="24"/>
          <w:szCs w:val="24"/>
        </w:rPr>
        <w:t xml:space="preserve">CETEX, </w:t>
      </w:r>
      <w:r w:rsidR="0089433A" w:rsidRPr="006024BF">
        <w:rPr>
          <w:rFonts w:ascii="Arial Narrow" w:hAnsi="Arial Narrow"/>
          <w:sz w:val="24"/>
          <w:szCs w:val="24"/>
        </w:rPr>
        <w:t xml:space="preserve">en su tarea </w:t>
      </w:r>
      <w:r w:rsidR="002648DC" w:rsidRPr="006024BF">
        <w:rPr>
          <w:rFonts w:ascii="Arial Narrow" w:hAnsi="Arial Narrow"/>
          <w:sz w:val="24"/>
          <w:szCs w:val="24"/>
        </w:rPr>
        <w:t>por</w:t>
      </w:r>
      <w:r w:rsidR="0089433A" w:rsidRPr="006024BF">
        <w:rPr>
          <w:rFonts w:ascii="Arial Narrow" w:hAnsi="Arial Narrow"/>
          <w:sz w:val="24"/>
          <w:szCs w:val="24"/>
        </w:rPr>
        <w:t xml:space="preserve"> impulsar</w:t>
      </w:r>
      <w:r w:rsidR="00FE0092" w:rsidRPr="006024BF">
        <w:rPr>
          <w:rFonts w:ascii="Arial Narrow" w:hAnsi="Arial Narrow"/>
          <w:sz w:val="24"/>
          <w:szCs w:val="24"/>
        </w:rPr>
        <w:t xml:space="preserve"> proyecto</w:t>
      </w:r>
      <w:r w:rsidR="00EF7C16" w:rsidRPr="006024BF">
        <w:rPr>
          <w:rFonts w:ascii="Arial Narrow" w:hAnsi="Arial Narrow"/>
          <w:sz w:val="24"/>
          <w:szCs w:val="24"/>
        </w:rPr>
        <w:t>s</w:t>
      </w:r>
      <w:r w:rsidR="00FE0092" w:rsidRPr="006024BF">
        <w:rPr>
          <w:rFonts w:ascii="Arial Narrow" w:hAnsi="Arial Narrow"/>
          <w:sz w:val="24"/>
          <w:szCs w:val="24"/>
        </w:rPr>
        <w:t xml:space="preserve"> de vida de millones de colombianos durante</w:t>
      </w:r>
      <w:r w:rsidR="002648DC" w:rsidRPr="006024BF">
        <w:rPr>
          <w:rFonts w:ascii="Arial Narrow" w:hAnsi="Arial Narrow"/>
          <w:sz w:val="24"/>
          <w:szCs w:val="24"/>
        </w:rPr>
        <w:t xml:space="preserve"> más de</w:t>
      </w:r>
      <w:r w:rsidR="00FE0092" w:rsidRPr="006024BF">
        <w:rPr>
          <w:rFonts w:ascii="Arial Narrow" w:hAnsi="Arial Narrow"/>
          <w:sz w:val="24"/>
          <w:szCs w:val="24"/>
        </w:rPr>
        <w:t xml:space="preserve"> siete décadas</w:t>
      </w:r>
      <w:r w:rsidR="00E431D7" w:rsidRPr="006024BF">
        <w:rPr>
          <w:rFonts w:ascii="Arial Narrow" w:hAnsi="Arial Narrow"/>
          <w:sz w:val="24"/>
          <w:szCs w:val="24"/>
        </w:rPr>
        <w:t xml:space="preserve">. Estos recursos llegan en un momento muy oportuno para la educación superior del país, ya que para el año 2022 se espera una fuerte demanda por parte de los </w:t>
      </w:r>
      <w:r w:rsidR="00A604F8" w:rsidRPr="006024BF">
        <w:rPr>
          <w:rFonts w:ascii="Arial Narrow" w:hAnsi="Arial Narrow"/>
          <w:sz w:val="24"/>
          <w:szCs w:val="24"/>
        </w:rPr>
        <w:t>estudiantes</w:t>
      </w:r>
      <w:r w:rsidR="00E431D7" w:rsidRPr="006024BF">
        <w:rPr>
          <w:rFonts w:ascii="Arial Narrow" w:hAnsi="Arial Narrow"/>
          <w:sz w:val="24"/>
          <w:szCs w:val="24"/>
        </w:rPr>
        <w:t xml:space="preserve"> que </w:t>
      </w:r>
      <w:r w:rsidR="00A604F8" w:rsidRPr="006024BF">
        <w:rPr>
          <w:rFonts w:ascii="Arial Narrow" w:hAnsi="Arial Narrow"/>
          <w:sz w:val="24"/>
          <w:szCs w:val="24"/>
        </w:rPr>
        <w:t xml:space="preserve">inician o </w:t>
      </w:r>
      <w:r w:rsidR="00E431D7" w:rsidRPr="006024BF">
        <w:rPr>
          <w:rFonts w:ascii="Arial Narrow" w:hAnsi="Arial Narrow"/>
          <w:sz w:val="24"/>
          <w:szCs w:val="24"/>
        </w:rPr>
        <w:t>retoma</w:t>
      </w:r>
      <w:r w:rsidR="00A604F8" w:rsidRPr="006024BF">
        <w:rPr>
          <w:rFonts w:ascii="Arial Narrow" w:hAnsi="Arial Narrow"/>
          <w:sz w:val="24"/>
          <w:szCs w:val="24"/>
        </w:rPr>
        <w:t>n</w:t>
      </w:r>
      <w:r w:rsidR="00E431D7" w:rsidRPr="006024BF">
        <w:rPr>
          <w:rFonts w:ascii="Arial Narrow" w:hAnsi="Arial Narrow"/>
          <w:sz w:val="24"/>
          <w:szCs w:val="24"/>
        </w:rPr>
        <w:t xml:space="preserve"> su vida académica tras los avances de la reactivación económica del país en medio de la pandemia</w:t>
      </w:r>
      <w:r w:rsidR="00CA0AB8" w:rsidRPr="006024BF">
        <w:rPr>
          <w:rFonts w:ascii="Arial Narrow" w:hAnsi="Arial Narrow"/>
          <w:sz w:val="24"/>
          <w:szCs w:val="24"/>
        </w:rPr>
        <w:t xml:space="preserve">”, </w:t>
      </w:r>
      <w:r w:rsidR="006E6F6D" w:rsidRPr="006024BF">
        <w:rPr>
          <w:rFonts w:ascii="Arial Narrow" w:hAnsi="Arial Narrow"/>
          <w:sz w:val="24"/>
          <w:szCs w:val="24"/>
        </w:rPr>
        <w:t xml:space="preserve">manifestó </w:t>
      </w:r>
      <w:r w:rsidR="00CA0AB8" w:rsidRPr="006024BF">
        <w:rPr>
          <w:rFonts w:ascii="Arial Narrow" w:hAnsi="Arial Narrow"/>
          <w:sz w:val="24"/>
          <w:szCs w:val="24"/>
        </w:rPr>
        <w:t xml:space="preserve">el </w:t>
      </w:r>
      <w:r w:rsidR="00EF7C16" w:rsidRPr="006024BF">
        <w:rPr>
          <w:rFonts w:ascii="Arial Narrow" w:hAnsi="Arial Narrow"/>
          <w:sz w:val="24"/>
          <w:szCs w:val="24"/>
        </w:rPr>
        <w:t>vicepresidente financiero, Antonio Gómez</w:t>
      </w:r>
      <w:r w:rsidR="00F65CE2" w:rsidRPr="006024BF">
        <w:rPr>
          <w:rFonts w:ascii="Arial Narrow" w:hAnsi="Arial Narrow"/>
          <w:sz w:val="24"/>
          <w:szCs w:val="24"/>
        </w:rPr>
        <w:t>.</w:t>
      </w:r>
    </w:p>
    <w:p w14:paraId="7487AB0D" w14:textId="043C0F97" w:rsidR="00925BB4" w:rsidRPr="00925BB4" w:rsidRDefault="00925BB4" w:rsidP="00925BB4">
      <w:pPr>
        <w:jc w:val="both"/>
        <w:rPr>
          <w:rFonts w:ascii="Arial Narrow" w:hAnsi="Arial Narrow"/>
          <w:sz w:val="24"/>
          <w:szCs w:val="24"/>
        </w:rPr>
      </w:pPr>
      <w:r w:rsidRPr="00925BB4">
        <w:rPr>
          <w:rFonts w:ascii="Arial Narrow" w:hAnsi="Arial Narrow"/>
          <w:sz w:val="24"/>
          <w:szCs w:val="24"/>
        </w:rPr>
        <w:t xml:space="preserve">La emisión de Bonos Sociales alcanzó un </w:t>
      </w:r>
      <w:proofErr w:type="spellStart"/>
      <w:r w:rsidRPr="00925BB4">
        <w:rPr>
          <w:rFonts w:ascii="Arial Narrow" w:hAnsi="Arial Narrow"/>
          <w:sz w:val="24"/>
          <w:szCs w:val="24"/>
        </w:rPr>
        <w:t>Bid</w:t>
      </w:r>
      <w:proofErr w:type="spellEnd"/>
      <w:r w:rsidRPr="00925BB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5BB4">
        <w:rPr>
          <w:rFonts w:ascii="Arial Narrow" w:hAnsi="Arial Narrow"/>
          <w:sz w:val="24"/>
          <w:szCs w:val="24"/>
        </w:rPr>
        <w:t>to</w:t>
      </w:r>
      <w:proofErr w:type="spellEnd"/>
      <w:r w:rsidRPr="00925BB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5BB4">
        <w:rPr>
          <w:rFonts w:ascii="Arial Narrow" w:hAnsi="Arial Narrow"/>
          <w:sz w:val="24"/>
          <w:szCs w:val="24"/>
        </w:rPr>
        <w:t>Cover</w:t>
      </w:r>
      <w:proofErr w:type="spellEnd"/>
      <w:r w:rsidRPr="00925BB4">
        <w:rPr>
          <w:rFonts w:ascii="Arial Narrow" w:hAnsi="Arial Narrow"/>
          <w:sz w:val="24"/>
          <w:szCs w:val="24"/>
        </w:rPr>
        <w:t xml:space="preserve"> del </w:t>
      </w:r>
      <w:r w:rsidR="00F65CE2">
        <w:rPr>
          <w:rFonts w:ascii="Arial Narrow" w:hAnsi="Arial Narrow"/>
          <w:sz w:val="24"/>
          <w:szCs w:val="24"/>
        </w:rPr>
        <w:t>2.86,</w:t>
      </w:r>
      <w:r w:rsidRPr="00925BB4">
        <w:rPr>
          <w:rFonts w:ascii="Arial Narrow" w:hAnsi="Arial Narrow"/>
          <w:sz w:val="24"/>
          <w:szCs w:val="24"/>
        </w:rPr>
        <w:t xml:space="preserve"> cifra que demuestra la credibilidad y confianza que tienen los inversionistas del mercado principal de capitales en el ICETEX, que mantiene la máxima calificación financiera (AAA) por parte de Fitch Ratings. </w:t>
      </w:r>
    </w:p>
    <w:p w14:paraId="0E330B01" w14:textId="0F2EB443" w:rsidR="00336182" w:rsidRPr="00A21EC4" w:rsidRDefault="00AF18E0" w:rsidP="00960022">
      <w:pPr>
        <w:jc w:val="both"/>
        <w:rPr>
          <w:rFonts w:ascii="Arial Narrow" w:hAnsi="Arial Narrow"/>
          <w:sz w:val="24"/>
          <w:szCs w:val="24"/>
        </w:rPr>
      </w:pPr>
      <w:r w:rsidRPr="00A21EC4">
        <w:rPr>
          <w:rFonts w:ascii="Arial Narrow" w:hAnsi="Arial Narrow"/>
          <w:sz w:val="24"/>
          <w:szCs w:val="24"/>
        </w:rPr>
        <w:t xml:space="preserve">Con la </w:t>
      </w:r>
      <w:r w:rsidR="005A3B12" w:rsidRPr="00A21EC4">
        <w:rPr>
          <w:rFonts w:ascii="Arial Narrow" w:hAnsi="Arial Narrow"/>
          <w:sz w:val="24"/>
          <w:szCs w:val="24"/>
        </w:rPr>
        <w:t xml:space="preserve">primera emisión de bonos </w:t>
      </w:r>
      <w:r w:rsidR="00357DDF" w:rsidRPr="00A21EC4">
        <w:rPr>
          <w:rFonts w:ascii="Arial Narrow" w:hAnsi="Arial Narrow"/>
          <w:sz w:val="24"/>
          <w:szCs w:val="24"/>
        </w:rPr>
        <w:t xml:space="preserve">sociales </w:t>
      </w:r>
      <w:r w:rsidR="00E558E4" w:rsidRPr="00A21EC4">
        <w:rPr>
          <w:rFonts w:ascii="Arial Narrow" w:hAnsi="Arial Narrow"/>
          <w:sz w:val="24"/>
          <w:szCs w:val="24"/>
        </w:rPr>
        <w:t xml:space="preserve">realizada en noviembre de 2020, </w:t>
      </w:r>
      <w:r w:rsidR="00357DDF" w:rsidRPr="00A21EC4">
        <w:rPr>
          <w:rFonts w:ascii="Arial Narrow" w:hAnsi="Arial Narrow"/>
          <w:sz w:val="24"/>
          <w:szCs w:val="24"/>
        </w:rPr>
        <w:t xml:space="preserve">por un valor de </w:t>
      </w:r>
      <w:r w:rsidR="005A3B12" w:rsidRPr="00A21EC4">
        <w:rPr>
          <w:rFonts w:ascii="Arial Narrow" w:hAnsi="Arial Narrow"/>
          <w:b/>
          <w:sz w:val="24"/>
          <w:szCs w:val="24"/>
        </w:rPr>
        <w:t>$364.000 millones</w:t>
      </w:r>
      <w:r w:rsidR="005A3B12" w:rsidRPr="00A21EC4">
        <w:rPr>
          <w:rFonts w:ascii="Arial Narrow" w:hAnsi="Arial Narrow"/>
          <w:sz w:val="24"/>
          <w:szCs w:val="24"/>
        </w:rPr>
        <w:t xml:space="preserve"> </w:t>
      </w:r>
      <w:r w:rsidR="00A742B4" w:rsidRPr="00A21EC4">
        <w:rPr>
          <w:rFonts w:ascii="Arial Narrow" w:hAnsi="Arial Narrow"/>
          <w:sz w:val="24"/>
          <w:szCs w:val="24"/>
        </w:rPr>
        <w:t xml:space="preserve">de pesos, </w:t>
      </w:r>
      <w:r w:rsidR="00E558E4" w:rsidRPr="00A21EC4">
        <w:rPr>
          <w:rFonts w:ascii="Arial Narrow" w:hAnsi="Arial Narrow"/>
          <w:sz w:val="24"/>
          <w:szCs w:val="24"/>
        </w:rPr>
        <w:t>y la segunda</w:t>
      </w:r>
      <w:r w:rsidR="008231CE" w:rsidRPr="00A21EC4">
        <w:rPr>
          <w:rFonts w:ascii="Arial Narrow" w:hAnsi="Arial Narrow"/>
          <w:sz w:val="24"/>
          <w:szCs w:val="24"/>
        </w:rPr>
        <w:t xml:space="preserve"> </w:t>
      </w:r>
      <w:r w:rsidR="007E1380" w:rsidRPr="00A21EC4">
        <w:rPr>
          <w:rFonts w:ascii="Arial Narrow" w:hAnsi="Arial Narrow"/>
          <w:sz w:val="24"/>
          <w:szCs w:val="24"/>
        </w:rPr>
        <w:t xml:space="preserve">en 2021 </w:t>
      </w:r>
      <w:r w:rsidR="00E558E4" w:rsidRPr="00A21EC4">
        <w:rPr>
          <w:rFonts w:ascii="Arial Narrow" w:hAnsi="Arial Narrow"/>
          <w:sz w:val="24"/>
          <w:szCs w:val="24"/>
        </w:rPr>
        <w:t xml:space="preserve">por </w:t>
      </w:r>
      <w:r w:rsidR="001F0CA6" w:rsidRPr="006024BF">
        <w:rPr>
          <w:rFonts w:ascii="Arial Narrow" w:hAnsi="Arial Narrow"/>
          <w:b/>
          <w:bCs/>
          <w:sz w:val="24"/>
          <w:szCs w:val="24"/>
        </w:rPr>
        <w:t>292.724</w:t>
      </w:r>
      <w:r w:rsidR="00E558E4" w:rsidRPr="006024BF">
        <w:rPr>
          <w:rFonts w:ascii="Arial Narrow" w:hAnsi="Arial Narrow"/>
          <w:b/>
          <w:bCs/>
          <w:sz w:val="24"/>
          <w:szCs w:val="24"/>
        </w:rPr>
        <w:t xml:space="preserve"> millones</w:t>
      </w:r>
      <w:r w:rsidR="005C7939" w:rsidRPr="00A21EC4">
        <w:rPr>
          <w:rFonts w:ascii="Arial Narrow" w:hAnsi="Arial Narrow"/>
          <w:sz w:val="24"/>
          <w:szCs w:val="24"/>
        </w:rPr>
        <w:t xml:space="preserve">, </w:t>
      </w:r>
      <w:r w:rsidR="00573E25" w:rsidRPr="00A21EC4">
        <w:rPr>
          <w:rFonts w:ascii="Arial Narrow" w:hAnsi="Arial Narrow"/>
          <w:sz w:val="24"/>
          <w:szCs w:val="24"/>
        </w:rPr>
        <w:t xml:space="preserve">se </w:t>
      </w:r>
      <w:r w:rsidR="00EF7C16">
        <w:rPr>
          <w:rFonts w:ascii="Arial Narrow" w:hAnsi="Arial Narrow"/>
          <w:sz w:val="24"/>
          <w:szCs w:val="24"/>
        </w:rPr>
        <w:t xml:space="preserve">ratifica la </w:t>
      </w:r>
      <w:r w:rsidR="00573E25" w:rsidRPr="00A21EC4">
        <w:rPr>
          <w:rFonts w:ascii="Arial Narrow" w:hAnsi="Arial Narrow"/>
          <w:sz w:val="24"/>
          <w:szCs w:val="24"/>
        </w:rPr>
        <w:t xml:space="preserve">confianza de los inversionistas colombianos en ICETEX y en la </w:t>
      </w:r>
      <w:r w:rsidR="00356023">
        <w:rPr>
          <w:rFonts w:ascii="Arial Narrow" w:hAnsi="Arial Narrow"/>
          <w:sz w:val="24"/>
          <w:szCs w:val="24"/>
        </w:rPr>
        <w:t>e</w:t>
      </w:r>
      <w:r w:rsidR="00573E25" w:rsidRPr="00A21EC4">
        <w:rPr>
          <w:rFonts w:ascii="Arial Narrow" w:hAnsi="Arial Narrow"/>
          <w:sz w:val="24"/>
          <w:szCs w:val="24"/>
        </w:rPr>
        <w:t xml:space="preserve">ducación </w:t>
      </w:r>
      <w:r w:rsidR="00356023">
        <w:rPr>
          <w:rFonts w:ascii="Arial Narrow" w:hAnsi="Arial Narrow"/>
          <w:sz w:val="24"/>
          <w:szCs w:val="24"/>
        </w:rPr>
        <w:t>s</w:t>
      </w:r>
      <w:r w:rsidR="00EF7C16">
        <w:rPr>
          <w:rFonts w:ascii="Arial Narrow" w:hAnsi="Arial Narrow"/>
          <w:sz w:val="24"/>
          <w:szCs w:val="24"/>
        </w:rPr>
        <w:t xml:space="preserve">uperior de los estudiantes del </w:t>
      </w:r>
      <w:r w:rsidR="00573E25" w:rsidRPr="00A21EC4">
        <w:rPr>
          <w:rFonts w:ascii="Arial Narrow" w:hAnsi="Arial Narrow"/>
          <w:sz w:val="24"/>
          <w:szCs w:val="24"/>
        </w:rPr>
        <w:t>país.</w:t>
      </w:r>
    </w:p>
    <w:p w14:paraId="37670F46" w14:textId="3360C29D" w:rsidR="00AD2042" w:rsidRDefault="00E96F71" w:rsidP="00960022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21EC4">
        <w:rPr>
          <w:rFonts w:ascii="Arial Narrow" w:hAnsi="Arial Narrow" w:cs="Arial"/>
          <w:color w:val="000000"/>
          <w:sz w:val="24"/>
          <w:szCs w:val="24"/>
        </w:rPr>
        <w:t>La emisión contó con el acompañamiento de la bolsa de valores de Colombia y la asesoría de Banca de Inversión Bancolombia, y Valores Bancolombia.</w:t>
      </w:r>
    </w:p>
    <w:p w14:paraId="4872260E" w14:textId="77777777" w:rsidR="00422C0E" w:rsidRPr="00A21EC4" w:rsidRDefault="00422C0E" w:rsidP="00960022">
      <w:pPr>
        <w:jc w:val="both"/>
        <w:rPr>
          <w:rFonts w:ascii="Arial Narrow" w:hAnsi="Arial Narrow"/>
          <w:sz w:val="24"/>
          <w:szCs w:val="24"/>
        </w:rPr>
      </w:pPr>
    </w:p>
    <w:p w14:paraId="30068A12" w14:textId="77777777" w:rsidR="00D0395B" w:rsidRDefault="00EF7C16" w:rsidP="009D344A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rFonts w:ascii="Arial" w:eastAsia="Calibri" w:hAnsi="Arial" w:cs="Arial"/>
          <w:color w:val="000000"/>
          <w:sz w:val="23"/>
          <w:szCs w:val="23"/>
        </w:rPr>
      </w:pPr>
      <w:r>
        <w:rPr>
          <w:rStyle w:val="Textoennegrita"/>
          <w:rFonts w:ascii="Arial" w:eastAsia="Calibri" w:hAnsi="Arial" w:cs="Arial"/>
          <w:color w:val="000000"/>
          <w:sz w:val="23"/>
          <w:szCs w:val="23"/>
        </w:rPr>
        <w:t xml:space="preserve">OFICINA </w:t>
      </w:r>
      <w:r w:rsidR="00D0395B">
        <w:rPr>
          <w:rStyle w:val="Textoennegrita"/>
          <w:rFonts w:ascii="Arial" w:eastAsia="Calibri" w:hAnsi="Arial" w:cs="Arial"/>
          <w:color w:val="000000"/>
          <w:sz w:val="23"/>
          <w:szCs w:val="23"/>
        </w:rPr>
        <w:t>ASESORA DE</w:t>
      </w:r>
      <w:r>
        <w:rPr>
          <w:rStyle w:val="Textoennegrita"/>
          <w:rFonts w:ascii="Arial" w:eastAsia="Calibri" w:hAnsi="Arial" w:cs="Arial"/>
          <w:color w:val="000000"/>
          <w:sz w:val="23"/>
          <w:szCs w:val="23"/>
        </w:rPr>
        <w:t xml:space="preserve"> COMUNICACIONES </w:t>
      </w:r>
    </w:p>
    <w:p w14:paraId="219B1D22" w14:textId="0E42B42B" w:rsidR="009D344A" w:rsidRDefault="009D344A" w:rsidP="009D344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Textoennegrita"/>
          <w:rFonts w:ascii="Arial" w:eastAsia="Calibri" w:hAnsi="Arial" w:cs="Arial"/>
          <w:color w:val="000000"/>
          <w:sz w:val="23"/>
          <w:szCs w:val="23"/>
        </w:rPr>
        <w:t>ICETEX</w:t>
      </w:r>
    </w:p>
    <w:p w14:paraId="56B96948" w14:textId="77777777" w:rsidR="002E6BB4" w:rsidRDefault="002E6BB4"/>
    <w:sectPr w:rsidR="002E6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BE25" w14:textId="77777777" w:rsidR="005B44AD" w:rsidRDefault="005B44AD" w:rsidP="00597B14">
      <w:pPr>
        <w:spacing w:after="0" w:line="240" w:lineRule="auto"/>
      </w:pPr>
      <w:r>
        <w:separator/>
      </w:r>
    </w:p>
  </w:endnote>
  <w:endnote w:type="continuationSeparator" w:id="0">
    <w:p w14:paraId="352A2BF9" w14:textId="77777777" w:rsidR="005B44AD" w:rsidRDefault="005B44AD" w:rsidP="00597B14">
      <w:pPr>
        <w:spacing w:after="0" w:line="240" w:lineRule="auto"/>
      </w:pPr>
      <w:r>
        <w:continuationSeparator/>
      </w:r>
    </w:p>
  </w:endnote>
  <w:endnote w:type="continuationNotice" w:id="1">
    <w:p w14:paraId="624E86F4" w14:textId="77777777" w:rsidR="005B44AD" w:rsidRDefault="005B4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2DC9" w14:textId="77777777" w:rsidR="005B44AD" w:rsidRDefault="005B44AD" w:rsidP="00597B14">
      <w:pPr>
        <w:spacing w:after="0" w:line="240" w:lineRule="auto"/>
      </w:pPr>
      <w:r>
        <w:separator/>
      </w:r>
    </w:p>
  </w:footnote>
  <w:footnote w:type="continuationSeparator" w:id="0">
    <w:p w14:paraId="3CDEA366" w14:textId="77777777" w:rsidR="005B44AD" w:rsidRDefault="005B44AD" w:rsidP="00597B14">
      <w:pPr>
        <w:spacing w:after="0" w:line="240" w:lineRule="auto"/>
      </w:pPr>
      <w:r>
        <w:continuationSeparator/>
      </w:r>
    </w:p>
  </w:footnote>
  <w:footnote w:type="continuationNotice" w:id="1">
    <w:p w14:paraId="657090B1" w14:textId="77777777" w:rsidR="005B44AD" w:rsidRDefault="005B44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B4DCA"/>
    <w:multiLevelType w:val="hybridMultilevel"/>
    <w:tmpl w:val="72E059BE"/>
    <w:lvl w:ilvl="0" w:tplc="911EB3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D3811"/>
    <w:multiLevelType w:val="hybridMultilevel"/>
    <w:tmpl w:val="DAB02BD6"/>
    <w:lvl w:ilvl="0" w:tplc="1A326B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4A"/>
    <w:rsid w:val="000049F8"/>
    <w:rsid w:val="0000697C"/>
    <w:rsid w:val="00013F66"/>
    <w:rsid w:val="00014576"/>
    <w:rsid w:val="000248C3"/>
    <w:rsid w:val="000424E7"/>
    <w:rsid w:val="0009752D"/>
    <w:rsid w:val="000B4C36"/>
    <w:rsid w:val="000D6BB5"/>
    <w:rsid w:val="00110382"/>
    <w:rsid w:val="00112996"/>
    <w:rsid w:val="001217F0"/>
    <w:rsid w:val="001652AD"/>
    <w:rsid w:val="001718BA"/>
    <w:rsid w:val="001963B8"/>
    <w:rsid w:val="001C2F6D"/>
    <w:rsid w:val="001C7D21"/>
    <w:rsid w:val="001E409F"/>
    <w:rsid w:val="001F0CA6"/>
    <w:rsid w:val="001F6170"/>
    <w:rsid w:val="00215CEB"/>
    <w:rsid w:val="00227B46"/>
    <w:rsid w:val="00237DF1"/>
    <w:rsid w:val="0025649D"/>
    <w:rsid w:val="00263F78"/>
    <w:rsid w:val="002648DC"/>
    <w:rsid w:val="002755F4"/>
    <w:rsid w:val="00277359"/>
    <w:rsid w:val="00285C1A"/>
    <w:rsid w:val="002B055B"/>
    <w:rsid w:val="002C39DC"/>
    <w:rsid w:val="002E6BB4"/>
    <w:rsid w:val="00332FAA"/>
    <w:rsid w:val="00334BB9"/>
    <w:rsid w:val="00335681"/>
    <w:rsid w:val="00336182"/>
    <w:rsid w:val="00337811"/>
    <w:rsid w:val="00350443"/>
    <w:rsid w:val="003511D1"/>
    <w:rsid w:val="00352EC6"/>
    <w:rsid w:val="00356023"/>
    <w:rsid w:val="00357DDF"/>
    <w:rsid w:val="00393728"/>
    <w:rsid w:val="0039577F"/>
    <w:rsid w:val="003A31A3"/>
    <w:rsid w:val="003B7B08"/>
    <w:rsid w:val="003D0E0E"/>
    <w:rsid w:val="00422C0E"/>
    <w:rsid w:val="004B00B2"/>
    <w:rsid w:val="004B6088"/>
    <w:rsid w:val="004D6106"/>
    <w:rsid w:val="004E2011"/>
    <w:rsid w:val="004E2935"/>
    <w:rsid w:val="004E4524"/>
    <w:rsid w:val="004F2587"/>
    <w:rsid w:val="004F3BB3"/>
    <w:rsid w:val="00504C45"/>
    <w:rsid w:val="00520230"/>
    <w:rsid w:val="0054784F"/>
    <w:rsid w:val="00573E25"/>
    <w:rsid w:val="00574F48"/>
    <w:rsid w:val="0059722F"/>
    <w:rsid w:val="00597B14"/>
    <w:rsid w:val="005A2141"/>
    <w:rsid w:val="005A3B12"/>
    <w:rsid w:val="005B44AD"/>
    <w:rsid w:val="005C3FBC"/>
    <w:rsid w:val="005C7939"/>
    <w:rsid w:val="005F04B2"/>
    <w:rsid w:val="00602154"/>
    <w:rsid w:val="006024BF"/>
    <w:rsid w:val="006039CC"/>
    <w:rsid w:val="00623E88"/>
    <w:rsid w:val="006410F5"/>
    <w:rsid w:val="006510E3"/>
    <w:rsid w:val="006929FF"/>
    <w:rsid w:val="00692AD6"/>
    <w:rsid w:val="006E2E95"/>
    <w:rsid w:val="006E6F6D"/>
    <w:rsid w:val="006F486F"/>
    <w:rsid w:val="007076C7"/>
    <w:rsid w:val="007315F3"/>
    <w:rsid w:val="00732937"/>
    <w:rsid w:val="00735B95"/>
    <w:rsid w:val="007403CC"/>
    <w:rsid w:val="007623B3"/>
    <w:rsid w:val="007819AC"/>
    <w:rsid w:val="007B02EC"/>
    <w:rsid w:val="007D3734"/>
    <w:rsid w:val="007E1380"/>
    <w:rsid w:val="008231CE"/>
    <w:rsid w:val="0084376C"/>
    <w:rsid w:val="00864332"/>
    <w:rsid w:val="0088103C"/>
    <w:rsid w:val="00883BB2"/>
    <w:rsid w:val="008902EC"/>
    <w:rsid w:val="0089433A"/>
    <w:rsid w:val="008E06BB"/>
    <w:rsid w:val="008E359C"/>
    <w:rsid w:val="008F5CFD"/>
    <w:rsid w:val="00901C69"/>
    <w:rsid w:val="00920AB8"/>
    <w:rsid w:val="009215CB"/>
    <w:rsid w:val="00924EE8"/>
    <w:rsid w:val="00925BB4"/>
    <w:rsid w:val="00932AE6"/>
    <w:rsid w:val="00937F6F"/>
    <w:rsid w:val="00943ED8"/>
    <w:rsid w:val="00955824"/>
    <w:rsid w:val="00960022"/>
    <w:rsid w:val="00964D19"/>
    <w:rsid w:val="009970EE"/>
    <w:rsid w:val="009A65FD"/>
    <w:rsid w:val="009B414A"/>
    <w:rsid w:val="009D344A"/>
    <w:rsid w:val="00A15B0B"/>
    <w:rsid w:val="00A21EC4"/>
    <w:rsid w:val="00A24655"/>
    <w:rsid w:val="00A3252F"/>
    <w:rsid w:val="00A32E8D"/>
    <w:rsid w:val="00A604F8"/>
    <w:rsid w:val="00A742B4"/>
    <w:rsid w:val="00AA5064"/>
    <w:rsid w:val="00AA6FEB"/>
    <w:rsid w:val="00AB497B"/>
    <w:rsid w:val="00AB5969"/>
    <w:rsid w:val="00AD2042"/>
    <w:rsid w:val="00AE383F"/>
    <w:rsid w:val="00AE5EEA"/>
    <w:rsid w:val="00AE78F9"/>
    <w:rsid w:val="00AF18E0"/>
    <w:rsid w:val="00B16811"/>
    <w:rsid w:val="00B70C73"/>
    <w:rsid w:val="00B72F85"/>
    <w:rsid w:val="00B77D48"/>
    <w:rsid w:val="00BB1C46"/>
    <w:rsid w:val="00BE35E6"/>
    <w:rsid w:val="00BF2D30"/>
    <w:rsid w:val="00C25684"/>
    <w:rsid w:val="00C3772E"/>
    <w:rsid w:val="00C47453"/>
    <w:rsid w:val="00C5573D"/>
    <w:rsid w:val="00C9766C"/>
    <w:rsid w:val="00CA0AB8"/>
    <w:rsid w:val="00CA1997"/>
    <w:rsid w:val="00CF0C4F"/>
    <w:rsid w:val="00D0395B"/>
    <w:rsid w:val="00D3697D"/>
    <w:rsid w:val="00D44170"/>
    <w:rsid w:val="00D46667"/>
    <w:rsid w:val="00D518EE"/>
    <w:rsid w:val="00D637B3"/>
    <w:rsid w:val="00DB78DF"/>
    <w:rsid w:val="00DD4503"/>
    <w:rsid w:val="00E1135A"/>
    <w:rsid w:val="00E26732"/>
    <w:rsid w:val="00E36E45"/>
    <w:rsid w:val="00E431D7"/>
    <w:rsid w:val="00E443A8"/>
    <w:rsid w:val="00E456F9"/>
    <w:rsid w:val="00E558E4"/>
    <w:rsid w:val="00E566C5"/>
    <w:rsid w:val="00E60446"/>
    <w:rsid w:val="00E7787E"/>
    <w:rsid w:val="00E96F71"/>
    <w:rsid w:val="00EA15B7"/>
    <w:rsid w:val="00EB0BCC"/>
    <w:rsid w:val="00EC3376"/>
    <w:rsid w:val="00EC56A6"/>
    <w:rsid w:val="00EE2E53"/>
    <w:rsid w:val="00EF7C16"/>
    <w:rsid w:val="00F13ED0"/>
    <w:rsid w:val="00F171C8"/>
    <w:rsid w:val="00F52376"/>
    <w:rsid w:val="00F65CE2"/>
    <w:rsid w:val="00F66ED9"/>
    <w:rsid w:val="00F70086"/>
    <w:rsid w:val="00FA678A"/>
    <w:rsid w:val="00FC6ED8"/>
    <w:rsid w:val="00FD2C08"/>
    <w:rsid w:val="00FD56A4"/>
    <w:rsid w:val="00FE0092"/>
    <w:rsid w:val="00FE389D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1CE15"/>
  <w15:chartTrackingRefBased/>
  <w15:docId w15:val="{87FB8615-7E97-4D5F-AFEC-EE1421D2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D344A"/>
    <w:rPr>
      <w:b/>
      <w:bCs/>
    </w:rPr>
  </w:style>
  <w:style w:type="character" w:customStyle="1" w:styleId="PrrafodelistaCar">
    <w:name w:val="Párrafo de lista Car"/>
    <w:aliases w:val="No Spacing Car,Bullet List Car,FooterText Car,numbered Car,List Paragraph1 Car,Paragraphe de liste1 Car,lp1 Car,Bulletr List Paragraph Car,Foot Car,列出段落 Car,列出段落1 Car,List Paragraph2 Car,List Paragraph21 Car,Parágrafo da Lista1 Car"/>
    <w:link w:val="Prrafodelista"/>
    <w:uiPriority w:val="34"/>
    <w:qFormat/>
    <w:locked/>
    <w:rsid w:val="00602154"/>
    <w:rPr>
      <w:rFonts w:ascii="Calibri" w:eastAsia="Calibri" w:hAnsi="Calibri" w:cs="Calibri"/>
      <w:bdr w:val="none" w:sz="0" w:space="0" w:color="auto" w:frame="1"/>
      <w:lang w:eastAsia="es-CO"/>
    </w:rPr>
  </w:style>
  <w:style w:type="paragraph" w:styleId="Prrafodelista">
    <w:name w:val="List Paragraph"/>
    <w:aliases w:val="No Spacing,Bullet List,FooterText,numbered,List Paragraph1,Paragraphe de liste1,lp1,Bulletr List Paragraph,Foot,列出段落,列出段落1,List Paragraph2,List Paragraph21,Parágrafo da Lista1,リスト段落1,Listeafsnit1,titulo 3,TIT 2 IND,Titulo parrafo,Dot pt"/>
    <w:basedOn w:val="Normal"/>
    <w:link w:val="PrrafodelistaCar"/>
    <w:uiPriority w:val="34"/>
    <w:qFormat/>
    <w:rsid w:val="00602154"/>
    <w:pPr>
      <w:spacing w:after="0" w:line="240" w:lineRule="auto"/>
      <w:ind w:left="720"/>
    </w:pPr>
    <w:rPr>
      <w:rFonts w:ascii="Calibri" w:eastAsia="Calibri" w:hAnsi="Calibri" w:cs="Calibri"/>
      <w:bdr w:val="none" w:sz="0" w:space="0" w:color="auto" w:frame="1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597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B14"/>
  </w:style>
  <w:style w:type="paragraph" w:styleId="Piedepgina">
    <w:name w:val="footer"/>
    <w:basedOn w:val="Normal"/>
    <w:link w:val="PiedepginaCar"/>
    <w:uiPriority w:val="99"/>
    <w:unhideWhenUsed/>
    <w:rsid w:val="00597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Hernando Marroquin Franco</dc:creator>
  <cp:keywords/>
  <dc:description/>
  <cp:lastModifiedBy>Luis Hernando Marroquin Franco</cp:lastModifiedBy>
  <cp:revision>10</cp:revision>
  <dcterms:created xsi:type="dcterms:W3CDTF">2021-12-15T19:12:00Z</dcterms:created>
  <dcterms:modified xsi:type="dcterms:W3CDTF">2021-12-15T19:24:00Z</dcterms:modified>
</cp:coreProperties>
</file>