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FFA9" w14:textId="77777777" w:rsidR="00333E28" w:rsidRDefault="00333E28" w:rsidP="00333E28">
      <w:pPr>
        <w:ind w:left="567"/>
        <w:jc w:val="center"/>
        <w:rPr>
          <w:rFonts w:cs="Arial"/>
          <w:b/>
          <w:bCs/>
          <w:color w:val="FF0000"/>
          <w:sz w:val="40"/>
          <w:szCs w:val="40"/>
        </w:rPr>
      </w:pPr>
    </w:p>
    <w:p w14:paraId="280E61A6" w14:textId="3FD27FA0" w:rsidR="009D09A8" w:rsidRPr="00333E28" w:rsidRDefault="009D09A8" w:rsidP="00333E28">
      <w:pPr>
        <w:ind w:left="567"/>
        <w:jc w:val="center"/>
        <w:rPr>
          <w:rFonts w:cs="Arial"/>
          <w:b/>
          <w:bCs/>
          <w:color w:val="FF0000"/>
          <w:sz w:val="40"/>
          <w:szCs w:val="40"/>
        </w:rPr>
      </w:pPr>
      <w:bookmarkStart w:id="0" w:name="_GoBack"/>
      <w:r w:rsidRPr="00333E28">
        <w:rPr>
          <w:rFonts w:cs="Arial"/>
          <w:b/>
          <w:bCs/>
          <w:color w:val="FF0000"/>
          <w:sz w:val="40"/>
          <w:szCs w:val="40"/>
        </w:rPr>
        <w:t xml:space="preserve">Colombianos en el exterior </w:t>
      </w:r>
      <w:r w:rsidR="00A13BFD" w:rsidRPr="00333E28">
        <w:rPr>
          <w:rFonts w:cs="Arial"/>
          <w:b/>
          <w:bCs/>
          <w:color w:val="FF0000"/>
          <w:sz w:val="40"/>
          <w:szCs w:val="40"/>
        </w:rPr>
        <w:t>tienen</w:t>
      </w:r>
      <w:r w:rsidR="00414A51" w:rsidRPr="00333E28">
        <w:rPr>
          <w:rFonts w:cs="Arial"/>
          <w:b/>
          <w:bCs/>
          <w:color w:val="FF0000"/>
          <w:sz w:val="40"/>
          <w:szCs w:val="40"/>
        </w:rPr>
        <w:t xml:space="preserve"> </w:t>
      </w:r>
      <w:r w:rsidRPr="00333E28">
        <w:rPr>
          <w:rFonts w:cs="Arial"/>
          <w:b/>
          <w:bCs/>
          <w:color w:val="FF0000"/>
          <w:sz w:val="40"/>
          <w:szCs w:val="40"/>
        </w:rPr>
        <w:t xml:space="preserve">posibilidad de </w:t>
      </w:r>
      <w:r w:rsidR="00A13BFD" w:rsidRPr="00333E28">
        <w:rPr>
          <w:rFonts w:cs="Arial"/>
          <w:b/>
          <w:bCs/>
          <w:color w:val="FF0000"/>
          <w:sz w:val="40"/>
          <w:szCs w:val="40"/>
        </w:rPr>
        <w:t xml:space="preserve">acceder a </w:t>
      </w:r>
      <w:r w:rsidRPr="00333E28">
        <w:rPr>
          <w:rFonts w:cs="Arial"/>
          <w:b/>
          <w:bCs/>
          <w:color w:val="FF0000"/>
          <w:sz w:val="40"/>
          <w:szCs w:val="40"/>
        </w:rPr>
        <w:t>crédito de vivienda en el país</w:t>
      </w:r>
    </w:p>
    <w:bookmarkEnd w:id="0"/>
    <w:p w14:paraId="154C99BD" w14:textId="77777777" w:rsidR="009D09A8" w:rsidRDefault="009D09A8" w:rsidP="00333E28">
      <w:pPr>
        <w:ind w:left="567"/>
        <w:rPr>
          <w:rFonts w:cs="Arial"/>
          <w:b/>
          <w:bCs/>
          <w:color w:val="FF0000"/>
          <w:sz w:val="36"/>
          <w:szCs w:val="36"/>
        </w:rPr>
      </w:pPr>
    </w:p>
    <w:p w14:paraId="0925DED7" w14:textId="7982B40C" w:rsidR="00333E28" w:rsidRPr="00333E28" w:rsidRDefault="00333E28" w:rsidP="00333E28">
      <w:pPr>
        <w:pStyle w:val="Ttulo2"/>
        <w:numPr>
          <w:ilvl w:val="0"/>
          <w:numId w:val="11"/>
        </w:numPr>
        <w:ind w:left="1418" w:right="708"/>
        <w:rPr>
          <w:rFonts w:ascii="Arial" w:hAnsi="Arial" w:cs="Arial"/>
          <w:b/>
          <w:bCs/>
        </w:rPr>
      </w:pPr>
      <w:r w:rsidRPr="00333E28">
        <w:rPr>
          <w:rFonts w:ascii="Arial" w:hAnsi="Arial" w:cs="Arial"/>
        </w:rPr>
        <w:t>Dentro de las ventajas se encuentran el estudio de crédito gratuito, la financiación de hasta el 60 % del valor del inmueble y distintas opciones para el pago de la cuota mensual.</w:t>
      </w:r>
    </w:p>
    <w:p w14:paraId="6A6AF923" w14:textId="1B014BF0" w:rsidR="00333E28" w:rsidRDefault="00333E28" w:rsidP="00333E28">
      <w:pPr>
        <w:ind w:left="567"/>
        <w:rPr>
          <w:rFonts w:cs="Arial"/>
          <w:b/>
          <w:bCs/>
          <w:sz w:val="24"/>
          <w:szCs w:val="24"/>
        </w:rPr>
      </w:pPr>
    </w:p>
    <w:p w14:paraId="1BCAFCC6" w14:textId="77777777" w:rsidR="00333E28" w:rsidRDefault="00333E28" w:rsidP="00333E28">
      <w:pPr>
        <w:ind w:left="567"/>
        <w:rPr>
          <w:rFonts w:cs="Arial"/>
          <w:b/>
          <w:bCs/>
          <w:sz w:val="24"/>
          <w:szCs w:val="24"/>
        </w:rPr>
      </w:pPr>
    </w:p>
    <w:p w14:paraId="36B2B284" w14:textId="10CDDEC4" w:rsidR="009D09A8" w:rsidRDefault="009D09A8" w:rsidP="00333E28">
      <w:pPr>
        <w:ind w:left="567"/>
        <w:rPr>
          <w:rFonts w:cs="Arial"/>
          <w:sz w:val="24"/>
          <w:szCs w:val="24"/>
        </w:rPr>
      </w:pPr>
      <w:r w:rsidRPr="00730269">
        <w:rPr>
          <w:rFonts w:cs="Arial"/>
          <w:b/>
          <w:bCs/>
          <w:sz w:val="24"/>
          <w:szCs w:val="24"/>
        </w:rPr>
        <w:t xml:space="preserve">Nacional. </w:t>
      </w:r>
      <w:r>
        <w:rPr>
          <w:rFonts w:cs="Arial"/>
          <w:b/>
          <w:bCs/>
          <w:sz w:val="24"/>
          <w:szCs w:val="24"/>
        </w:rPr>
        <w:t>Octubre</w:t>
      </w:r>
      <w:r w:rsidRPr="00730269">
        <w:rPr>
          <w:rFonts w:cs="Arial"/>
          <w:b/>
          <w:bCs/>
          <w:sz w:val="24"/>
          <w:szCs w:val="24"/>
        </w:rPr>
        <w:t xml:space="preserve"> </w:t>
      </w:r>
      <w:r w:rsidR="00333E28">
        <w:rPr>
          <w:rFonts w:cs="Arial"/>
          <w:b/>
          <w:bCs/>
          <w:sz w:val="24"/>
          <w:szCs w:val="24"/>
        </w:rPr>
        <w:t xml:space="preserve">7 </w:t>
      </w:r>
      <w:r w:rsidRPr="00730269">
        <w:rPr>
          <w:rFonts w:cs="Arial"/>
          <w:b/>
          <w:bCs/>
          <w:sz w:val="24"/>
          <w:szCs w:val="24"/>
        </w:rPr>
        <w:t>de 2021.</w:t>
      </w:r>
      <w:r>
        <w:rPr>
          <w:rFonts w:cs="Arial"/>
          <w:b/>
          <w:bCs/>
          <w:sz w:val="24"/>
          <w:szCs w:val="24"/>
        </w:rPr>
        <w:t xml:space="preserve"> </w:t>
      </w:r>
      <w:r w:rsidRPr="00E97FF8">
        <w:rPr>
          <w:rFonts w:cs="Arial"/>
          <w:sz w:val="24"/>
          <w:szCs w:val="24"/>
        </w:rPr>
        <w:t xml:space="preserve">En los últimos dos años, Scotiabank Colpatria ha desembolsado más de $62 mil millones en créditos de vivienda para colombianos en el exterior, de los cuales cerca de $24 mil millones corresponden al año en curso. </w:t>
      </w:r>
    </w:p>
    <w:p w14:paraId="0077370B" w14:textId="77777777" w:rsidR="009D09A8" w:rsidRPr="00E97FF8" w:rsidRDefault="009D09A8" w:rsidP="00333E28">
      <w:pPr>
        <w:ind w:left="567"/>
        <w:rPr>
          <w:rFonts w:cs="Arial"/>
          <w:sz w:val="24"/>
          <w:szCs w:val="24"/>
        </w:rPr>
      </w:pPr>
    </w:p>
    <w:p w14:paraId="7887403D" w14:textId="1E708A8C" w:rsidR="009D09A8" w:rsidRDefault="009D09A8" w:rsidP="00333E28">
      <w:pPr>
        <w:ind w:left="567"/>
        <w:rPr>
          <w:rFonts w:cs="Arial"/>
          <w:sz w:val="24"/>
          <w:szCs w:val="24"/>
        </w:rPr>
      </w:pPr>
      <w:r w:rsidRPr="00E97FF8">
        <w:rPr>
          <w:rFonts w:cs="Arial"/>
          <w:sz w:val="24"/>
          <w:szCs w:val="24"/>
        </w:rPr>
        <w:t>“Pensamos en todos los colombianos que se encuentran en el exterior y que tienen dentro de sus planes la compra de vivienda en su país, bien sea para tener un inmueble a su regreso o como modelo de inversión</w:t>
      </w:r>
      <w:r w:rsidR="00A13BFD">
        <w:rPr>
          <w:rFonts w:cs="Arial"/>
          <w:sz w:val="24"/>
          <w:szCs w:val="24"/>
        </w:rPr>
        <w:t>; e</w:t>
      </w:r>
      <w:r w:rsidRPr="00E97FF8">
        <w:rPr>
          <w:rFonts w:cs="Arial"/>
          <w:sz w:val="24"/>
          <w:szCs w:val="24"/>
        </w:rPr>
        <w:t xml:space="preserve">llos encuentran esta modalidad en el Banco con </w:t>
      </w:r>
      <w:r>
        <w:rPr>
          <w:rFonts w:cs="Arial"/>
          <w:sz w:val="24"/>
          <w:szCs w:val="24"/>
        </w:rPr>
        <w:t xml:space="preserve">varios </w:t>
      </w:r>
      <w:r w:rsidRPr="00E97FF8">
        <w:rPr>
          <w:rFonts w:cs="Arial"/>
          <w:sz w:val="24"/>
          <w:szCs w:val="24"/>
        </w:rPr>
        <w:t xml:space="preserve">beneficios como el estudio de crédito gratuito”, aseguró Jaime Alberto Upegui, presidente de Scotiabank Colpatria. </w:t>
      </w:r>
    </w:p>
    <w:p w14:paraId="77B85A8C" w14:textId="77777777" w:rsidR="009D09A8" w:rsidRPr="00E97FF8" w:rsidRDefault="009D09A8" w:rsidP="00333E28">
      <w:pPr>
        <w:ind w:left="567"/>
        <w:rPr>
          <w:rFonts w:cs="Arial"/>
          <w:sz w:val="24"/>
          <w:szCs w:val="24"/>
        </w:rPr>
      </w:pPr>
    </w:p>
    <w:tbl>
      <w:tblPr>
        <w:tblStyle w:val="Tablaconcuadrcula"/>
        <w:tblW w:w="0" w:type="auto"/>
        <w:tblInd w:w="562" w:type="dxa"/>
        <w:tblLook w:val="04A0" w:firstRow="1" w:lastRow="0" w:firstColumn="1" w:lastColumn="0" w:noHBand="0" w:noVBand="1"/>
      </w:tblPr>
      <w:tblGrid>
        <w:gridCol w:w="4036"/>
        <w:gridCol w:w="4606"/>
      </w:tblGrid>
      <w:tr w:rsidR="009D09A8" w:rsidRPr="00E97FF8" w14:paraId="3DC97F60" w14:textId="77777777" w:rsidTr="00333E28">
        <w:tc>
          <w:tcPr>
            <w:tcW w:w="8642" w:type="dxa"/>
            <w:gridSpan w:val="2"/>
          </w:tcPr>
          <w:p w14:paraId="767691EF" w14:textId="77777777" w:rsidR="009D09A8" w:rsidRPr="00E97FF8" w:rsidRDefault="009D09A8" w:rsidP="00333E28">
            <w:pPr>
              <w:ind w:left="567"/>
              <w:jc w:val="center"/>
              <w:rPr>
                <w:rFonts w:cs="Arial"/>
                <w:b/>
                <w:bCs/>
                <w:sz w:val="24"/>
                <w:szCs w:val="24"/>
              </w:rPr>
            </w:pPr>
            <w:r>
              <w:rPr>
                <w:rFonts w:cs="Arial"/>
                <w:b/>
                <w:bCs/>
                <w:sz w:val="24"/>
                <w:szCs w:val="24"/>
              </w:rPr>
              <w:t>C</w:t>
            </w:r>
            <w:r w:rsidRPr="00E97FF8">
              <w:rPr>
                <w:rFonts w:cs="Arial"/>
                <w:b/>
                <w:bCs/>
                <w:sz w:val="24"/>
                <w:szCs w:val="24"/>
              </w:rPr>
              <w:t>réditos de vivienda desembolsados a colombianos en el exterior</w:t>
            </w:r>
            <w:r>
              <w:rPr>
                <w:rFonts w:cs="Arial"/>
                <w:b/>
                <w:bCs/>
                <w:sz w:val="24"/>
                <w:szCs w:val="24"/>
              </w:rPr>
              <w:t xml:space="preserve"> por país solicitante</w:t>
            </w:r>
            <w:r w:rsidRPr="00E97FF8">
              <w:rPr>
                <w:rFonts w:cs="Arial"/>
                <w:b/>
                <w:bCs/>
                <w:sz w:val="24"/>
                <w:szCs w:val="24"/>
              </w:rPr>
              <w:t>*</w:t>
            </w:r>
          </w:p>
        </w:tc>
      </w:tr>
      <w:tr w:rsidR="009D09A8" w:rsidRPr="00E97FF8" w14:paraId="52FB3747" w14:textId="77777777" w:rsidTr="00333E28">
        <w:tc>
          <w:tcPr>
            <w:tcW w:w="4036" w:type="dxa"/>
          </w:tcPr>
          <w:p w14:paraId="762861F5" w14:textId="77777777" w:rsidR="009D09A8" w:rsidRPr="00E97FF8" w:rsidRDefault="009D09A8" w:rsidP="00333E28">
            <w:pPr>
              <w:ind w:left="567"/>
              <w:jc w:val="center"/>
              <w:rPr>
                <w:rFonts w:cs="Arial"/>
                <w:b/>
                <w:bCs/>
                <w:sz w:val="24"/>
                <w:szCs w:val="24"/>
              </w:rPr>
            </w:pPr>
            <w:r w:rsidRPr="00E97FF8">
              <w:rPr>
                <w:rFonts w:cs="Arial"/>
                <w:b/>
                <w:bCs/>
                <w:sz w:val="24"/>
                <w:szCs w:val="24"/>
              </w:rPr>
              <w:t>País</w:t>
            </w:r>
          </w:p>
        </w:tc>
        <w:tc>
          <w:tcPr>
            <w:tcW w:w="4606" w:type="dxa"/>
          </w:tcPr>
          <w:p w14:paraId="0642FD47" w14:textId="77777777" w:rsidR="009D09A8" w:rsidRPr="00E97FF8" w:rsidRDefault="009D09A8" w:rsidP="00333E28">
            <w:pPr>
              <w:ind w:left="567"/>
              <w:jc w:val="center"/>
              <w:rPr>
                <w:rFonts w:cs="Arial"/>
                <w:b/>
                <w:bCs/>
                <w:sz w:val="24"/>
                <w:szCs w:val="24"/>
              </w:rPr>
            </w:pPr>
            <w:r>
              <w:rPr>
                <w:rFonts w:cs="Arial"/>
                <w:b/>
                <w:bCs/>
                <w:sz w:val="24"/>
                <w:szCs w:val="24"/>
              </w:rPr>
              <w:t>Porcentaje</w:t>
            </w:r>
          </w:p>
        </w:tc>
      </w:tr>
      <w:tr w:rsidR="009D09A8" w:rsidRPr="00E97FF8" w14:paraId="6864CC9D" w14:textId="77777777" w:rsidTr="00333E28">
        <w:tc>
          <w:tcPr>
            <w:tcW w:w="4036" w:type="dxa"/>
          </w:tcPr>
          <w:p w14:paraId="0A847843" w14:textId="77777777" w:rsidR="009D09A8" w:rsidRPr="00E97FF8" w:rsidRDefault="009D09A8" w:rsidP="00333E28">
            <w:pPr>
              <w:ind w:left="567"/>
              <w:jc w:val="center"/>
              <w:rPr>
                <w:rFonts w:cs="Arial"/>
                <w:sz w:val="24"/>
                <w:szCs w:val="24"/>
              </w:rPr>
            </w:pPr>
            <w:r w:rsidRPr="00E97FF8">
              <w:rPr>
                <w:rFonts w:cs="Arial"/>
                <w:sz w:val="24"/>
                <w:szCs w:val="24"/>
              </w:rPr>
              <w:t>Estados Unidos</w:t>
            </w:r>
          </w:p>
        </w:tc>
        <w:tc>
          <w:tcPr>
            <w:tcW w:w="4606" w:type="dxa"/>
          </w:tcPr>
          <w:p w14:paraId="1706512C" w14:textId="77777777" w:rsidR="009D09A8" w:rsidRPr="00E97FF8" w:rsidRDefault="009D09A8" w:rsidP="00333E28">
            <w:pPr>
              <w:ind w:left="567"/>
              <w:jc w:val="center"/>
              <w:rPr>
                <w:rFonts w:cs="Arial"/>
                <w:sz w:val="24"/>
                <w:szCs w:val="24"/>
              </w:rPr>
            </w:pPr>
            <w:r w:rsidRPr="00E97FF8">
              <w:rPr>
                <w:rFonts w:cs="Arial"/>
                <w:sz w:val="24"/>
                <w:szCs w:val="24"/>
              </w:rPr>
              <w:t>60.10 %</w:t>
            </w:r>
          </w:p>
        </w:tc>
      </w:tr>
      <w:tr w:rsidR="009D09A8" w:rsidRPr="00E97FF8" w14:paraId="18B34C9A" w14:textId="77777777" w:rsidTr="00333E28">
        <w:tc>
          <w:tcPr>
            <w:tcW w:w="4036" w:type="dxa"/>
          </w:tcPr>
          <w:p w14:paraId="7E0A95BF" w14:textId="77777777" w:rsidR="009D09A8" w:rsidRPr="00E97FF8" w:rsidRDefault="009D09A8" w:rsidP="00333E28">
            <w:pPr>
              <w:ind w:left="567"/>
              <w:jc w:val="center"/>
              <w:rPr>
                <w:rFonts w:cs="Arial"/>
                <w:sz w:val="24"/>
                <w:szCs w:val="24"/>
              </w:rPr>
            </w:pPr>
            <w:r w:rsidRPr="00E97FF8">
              <w:rPr>
                <w:rFonts w:cs="Arial"/>
                <w:sz w:val="24"/>
                <w:szCs w:val="24"/>
              </w:rPr>
              <w:t>Canadá</w:t>
            </w:r>
          </w:p>
        </w:tc>
        <w:tc>
          <w:tcPr>
            <w:tcW w:w="4606" w:type="dxa"/>
          </w:tcPr>
          <w:p w14:paraId="771FC41C" w14:textId="77777777" w:rsidR="009D09A8" w:rsidRPr="00E97FF8" w:rsidRDefault="009D09A8" w:rsidP="00333E28">
            <w:pPr>
              <w:ind w:left="567"/>
              <w:jc w:val="center"/>
              <w:rPr>
                <w:rFonts w:cs="Arial"/>
                <w:sz w:val="24"/>
                <w:szCs w:val="24"/>
              </w:rPr>
            </w:pPr>
            <w:r w:rsidRPr="00E97FF8">
              <w:rPr>
                <w:rFonts w:cs="Arial"/>
                <w:sz w:val="24"/>
                <w:szCs w:val="24"/>
              </w:rPr>
              <w:t>5.74 %</w:t>
            </w:r>
          </w:p>
        </w:tc>
      </w:tr>
      <w:tr w:rsidR="009D09A8" w:rsidRPr="00E97FF8" w14:paraId="5A83DF9D" w14:textId="77777777" w:rsidTr="00333E28">
        <w:tc>
          <w:tcPr>
            <w:tcW w:w="4036" w:type="dxa"/>
          </w:tcPr>
          <w:p w14:paraId="318E6F1C" w14:textId="77777777" w:rsidR="009D09A8" w:rsidRPr="00E97FF8" w:rsidRDefault="009D09A8" w:rsidP="00333E28">
            <w:pPr>
              <w:ind w:left="567"/>
              <w:jc w:val="center"/>
              <w:rPr>
                <w:rFonts w:cs="Arial"/>
                <w:sz w:val="24"/>
                <w:szCs w:val="24"/>
              </w:rPr>
            </w:pPr>
            <w:r w:rsidRPr="00E97FF8">
              <w:rPr>
                <w:rFonts w:cs="Arial"/>
                <w:sz w:val="24"/>
                <w:szCs w:val="24"/>
              </w:rPr>
              <w:t>España</w:t>
            </w:r>
          </w:p>
        </w:tc>
        <w:tc>
          <w:tcPr>
            <w:tcW w:w="4606" w:type="dxa"/>
          </w:tcPr>
          <w:p w14:paraId="404963BB" w14:textId="77777777" w:rsidR="009D09A8" w:rsidRPr="00E97FF8" w:rsidRDefault="009D09A8" w:rsidP="00333E28">
            <w:pPr>
              <w:ind w:left="567"/>
              <w:jc w:val="center"/>
              <w:rPr>
                <w:rFonts w:cs="Arial"/>
                <w:sz w:val="24"/>
                <w:szCs w:val="24"/>
              </w:rPr>
            </w:pPr>
            <w:r w:rsidRPr="00E97FF8">
              <w:rPr>
                <w:rFonts w:cs="Arial"/>
                <w:sz w:val="24"/>
                <w:szCs w:val="24"/>
              </w:rPr>
              <w:t>3.74 %</w:t>
            </w:r>
          </w:p>
        </w:tc>
      </w:tr>
      <w:tr w:rsidR="009D09A8" w:rsidRPr="00E97FF8" w14:paraId="6CEA1564" w14:textId="77777777" w:rsidTr="00333E28">
        <w:tc>
          <w:tcPr>
            <w:tcW w:w="4036" w:type="dxa"/>
          </w:tcPr>
          <w:p w14:paraId="10266C58" w14:textId="77777777" w:rsidR="009D09A8" w:rsidRPr="00E97FF8" w:rsidRDefault="009D09A8" w:rsidP="00333E28">
            <w:pPr>
              <w:ind w:left="567"/>
              <w:jc w:val="center"/>
              <w:rPr>
                <w:rFonts w:cs="Arial"/>
                <w:sz w:val="24"/>
                <w:szCs w:val="24"/>
              </w:rPr>
            </w:pPr>
            <w:r w:rsidRPr="00E97FF8">
              <w:rPr>
                <w:rFonts w:cs="Arial"/>
                <w:sz w:val="24"/>
                <w:szCs w:val="24"/>
              </w:rPr>
              <w:t>Panamá</w:t>
            </w:r>
          </w:p>
        </w:tc>
        <w:tc>
          <w:tcPr>
            <w:tcW w:w="4606" w:type="dxa"/>
          </w:tcPr>
          <w:p w14:paraId="2D172B6F" w14:textId="77777777" w:rsidR="009D09A8" w:rsidRPr="00E97FF8" w:rsidRDefault="009D09A8" w:rsidP="00333E28">
            <w:pPr>
              <w:ind w:left="567"/>
              <w:jc w:val="center"/>
              <w:rPr>
                <w:rFonts w:cs="Arial"/>
                <w:sz w:val="24"/>
                <w:szCs w:val="24"/>
              </w:rPr>
            </w:pPr>
            <w:r w:rsidRPr="00E97FF8">
              <w:rPr>
                <w:rFonts w:cs="Arial"/>
                <w:sz w:val="24"/>
                <w:szCs w:val="24"/>
              </w:rPr>
              <w:t>2.24 %</w:t>
            </w:r>
          </w:p>
        </w:tc>
      </w:tr>
      <w:tr w:rsidR="009D09A8" w:rsidRPr="00E97FF8" w14:paraId="39A553C1" w14:textId="77777777" w:rsidTr="00333E28">
        <w:tc>
          <w:tcPr>
            <w:tcW w:w="4036" w:type="dxa"/>
          </w:tcPr>
          <w:p w14:paraId="6B4395E3" w14:textId="77777777" w:rsidR="009D09A8" w:rsidRPr="00E97FF8" w:rsidRDefault="009D09A8" w:rsidP="00333E28">
            <w:pPr>
              <w:ind w:left="567"/>
              <w:jc w:val="center"/>
              <w:rPr>
                <w:rFonts w:cs="Arial"/>
                <w:sz w:val="24"/>
                <w:szCs w:val="24"/>
              </w:rPr>
            </w:pPr>
            <w:r w:rsidRPr="00E97FF8">
              <w:rPr>
                <w:rFonts w:cs="Arial"/>
                <w:sz w:val="24"/>
                <w:szCs w:val="24"/>
              </w:rPr>
              <w:t>Reino Unido</w:t>
            </w:r>
          </w:p>
        </w:tc>
        <w:tc>
          <w:tcPr>
            <w:tcW w:w="4606" w:type="dxa"/>
          </w:tcPr>
          <w:p w14:paraId="1ADA0959" w14:textId="77777777" w:rsidR="009D09A8" w:rsidRPr="00E97FF8" w:rsidRDefault="009D09A8" w:rsidP="00333E28">
            <w:pPr>
              <w:ind w:left="567"/>
              <w:jc w:val="center"/>
              <w:rPr>
                <w:rFonts w:cs="Arial"/>
                <w:sz w:val="24"/>
                <w:szCs w:val="24"/>
              </w:rPr>
            </w:pPr>
            <w:r w:rsidRPr="00E97FF8">
              <w:rPr>
                <w:rFonts w:cs="Arial"/>
                <w:sz w:val="24"/>
                <w:szCs w:val="24"/>
              </w:rPr>
              <w:t>2.0 %</w:t>
            </w:r>
          </w:p>
        </w:tc>
      </w:tr>
      <w:tr w:rsidR="009D09A8" w:rsidRPr="00E97FF8" w14:paraId="1E432B07" w14:textId="77777777" w:rsidTr="00333E28">
        <w:tc>
          <w:tcPr>
            <w:tcW w:w="4036" w:type="dxa"/>
          </w:tcPr>
          <w:p w14:paraId="168AE457" w14:textId="77777777" w:rsidR="009D09A8" w:rsidRPr="00E97FF8" w:rsidRDefault="009D09A8" w:rsidP="00333E28">
            <w:pPr>
              <w:ind w:left="567"/>
              <w:jc w:val="center"/>
              <w:rPr>
                <w:rFonts w:cs="Arial"/>
                <w:sz w:val="24"/>
                <w:szCs w:val="24"/>
              </w:rPr>
            </w:pPr>
            <w:r w:rsidRPr="00E97FF8">
              <w:rPr>
                <w:rFonts w:cs="Arial"/>
                <w:sz w:val="24"/>
                <w:szCs w:val="24"/>
              </w:rPr>
              <w:t>Otros</w:t>
            </w:r>
          </w:p>
        </w:tc>
        <w:tc>
          <w:tcPr>
            <w:tcW w:w="4606" w:type="dxa"/>
          </w:tcPr>
          <w:p w14:paraId="69668D2F" w14:textId="77777777" w:rsidR="009D09A8" w:rsidRPr="00E97FF8" w:rsidRDefault="009D09A8" w:rsidP="00333E28">
            <w:pPr>
              <w:ind w:left="567"/>
              <w:jc w:val="center"/>
              <w:rPr>
                <w:rFonts w:cs="Arial"/>
                <w:sz w:val="24"/>
                <w:szCs w:val="24"/>
              </w:rPr>
            </w:pPr>
            <w:r w:rsidRPr="00E97FF8">
              <w:rPr>
                <w:rFonts w:cs="Arial"/>
                <w:sz w:val="24"/>
                <w:szCs w:val="24"/>
              </w:rPr>
              <w:t>26. 18 %</w:t>
            </w:r>
          </w:p>
        </w:tc>
      </w:tr>
    </w:tbl>
    <w:p w14:paraId="11D6750D" w14:textId="77777777" w:rsidR="009D09A8" w:rsidRPr="00E97FF8" w:rsidRDefault="009D09A8" w:rsidP="00333E28">
      <w:pPr>
        <w:ind w:left="567"/>
        <w:rPr>
          <w:rFonts w:cs="Arial"/>
          <w:sz w:val="24"/>
          <w:szCs w:val="24"/>
        </w:rPr>
      </w:pPr>
      <w:r w:rsidRPr="00E97FF8">
        <w:rPr>
          <w:rFonts w:cs="Arial"/>
          <w:sz w:val="24"/>
          <w:szCs w:val="24"/>
        </w:rPr>
        <w:t xml:space="preserve"> *</w:t>
      </w:r>
      <w:r w:rsidRPr="00E97FF8">
        <w:rPr>
          <w:sz w:val="24"/>
          <w:szCs w:val="24"/>
        </w:rPr>
        <w:t xml:space="preserve"> </w:t>
      </w:r>
      <w:r w:rsidRPr="00E97FF8">
        <w:rPr>
          <w:rFonts w:cs="Arial"/>
        </w:rPr>
        <w:t>Cifras internas de Scotiabank Colpatria.</w:t>
      </w:r>
      <w:r w:rsidRPr="00E97FF8">
        <w:rPr>
          <w:rFonts w:cs="Arial"/>
          <w:sz w:val="24"/>
          <w:szCs w:val="24"/>
        </w:rPr>
        <w:t xml:space="preserve"> </w:t>
      </w:r>
    </w:p>
    <w:p w14:paraId="76A1FF77" w14:textId="77777777" w:rsidR="00333E28" w:rsidRDefault="00333E28" w:rsidP="00333E28">
      <w:pPr>
        <w:ind w:left="567"/>
        <w:rPr>
          <w:rFonts w:cs="Arial"/>
          <w:b/>
          <w:bCs/>
          <w:sz w:val="24"/>
          <w:szCs w:val="24"/>
        </w:rPr>
      </w:pPr>
    </w:p>
    <w:p w14:paraId="3DE474A8" w14:textId="44E7BAED" w:rsidR="009D09A8" w:rsidRDefault="009D09A8" w:rsidP="00333E28">
      <w:pPr>
        <w:ind w:left="567"/>
        <w:rPr>
          <w:rFonts w:cs="Arial"/>
          <w:b/>
          <w:bCs/>
          <w:sz w:val="24"/>
          <w:szCs w:val="24"/>
        </w:rPr>
      </w:pPr>
      <w:r w:rsidRPr="00E97FF8">
        <w:rPr>
          <w:rFonts w:cs="Arial"/>
          <w:b/>
          <w:bCs/>
          <w:sz w:val="24"/>
          <w:szCs w:val="24"/>
        </w:rPr>
        <w:t>Beneficios</w:t>
      </w:r>
    </w:p>
    <w:p w14:paraId="08FAF902" w14:textId="77777777" w:rsidR="00333E28" w:rsidRPr="00E97FF8" w:rsidRDefault="00333E28" w:rsidP="00333E28">
      <w:pPr>
        <w:ind w:left="567"/>
        <w:rPr>
          <w:rFonts w:cs="Arial"/>
          <w:b/>
          <w:bCs/>
          <w:sz w:val="24"/>
          <w:szCs w:val="24"/>
        </w:rPr>
      </w:pPr>
    </w:p>
    <w:p w14:paraId="005C1A64" w14:textId="517AF2D8" w:rsidR="009D09A8" w:rsidRPr="00E97FF8" w:rsidRDefault="009D09A8" w:rsidP="00333E28">
      <w:pPr>
        <w:ind w:left="567"/>
        <w:rPr>
          <w:rFonts w:cs="Arial"/>
          <w:sz w:val="24"/>
          <w:szCs w:val="24"/>
        </w:rPr>
      </w:pPr>
      <w:r w:rsidRPr="00E97FF8">
        <w:rPr>
          <w:rFonts w:cs="Arial"/>
          <w:sz w:val="24"/>
          <w:szCs w:val="24"/>
        </w:rPr>
        <w:t>Dentro de l</w:t>
      </w:r>
      <w:r>
        <w:rPr>
          <w:rFonts w:cs="Arial"/>
          <w:sz w:val="24"/>
          <w:szCs w:val="24"/>
        </w:rPr>
        <w:t>a</w:t>
      </w:r>
      <w:r w:rsidRPr="00E97FF8">
        <w:rPr>
          <w:rFonts w:cs="Arial"/>
          <w:sz w:val="24"/>
          <w:szCs w:val="24"/>
        </w:rPr>
        <w:t xml:space="preserve">s </w:t>
      </w:r>
      <w:r>
        <w:rPr>
          <w:rFonts w:cs="Arial"/>
          <w:sz w:val="24"/>
          <w:szCs w:val="24"/>
        </w:rPr>
        <w:t>ventajas</w:t>
      </w:r>
      <w:r w:rsidRPr="00E97FF8">
        <w:rPr>
          <w:rFonts w:cs="Arial"/>
          <w:sz w:val="24"/>
          <w:szCs w:val="24"/>
        </w:rPr>
        <w:t xml:space="preserve"> que encuentran los connacionales que residen por fuera del país al solicitar un crédito para </w:t>
      </w:r>
      <w:r w:rsidR="00A13BFD">
        <w:rPr>
          <w:rFonts w:cs="Arial"/>
          <w:sz w:val="24"/>
          <w:szCs w:val="24"/>
        </w:rPr>
        <w:t xml:space="preserve">la </w:t>
      </w:r>
      <w:r w:rsidRPr="00E97FF8">
        <w:rPr>
          <w:rFonts w:cs="Arial"/>
          <w:sz w:val="24"/>
          <w:szCs w:val="24"/>
        </w:rPr>
        <w:t>compra de vivienda en Colombia con Scotiabank Colpatria, se encuentran el estudio de crédito gratuito, la financiación de hasta el 60 % del valor del inmueble</w:t>
      </w:r>
      <w:r>
        <w:rPr>
          <w:rFonts w:cs="Arial"/>
          <w:sz w:val="24"/>
          <w:szCs w:val="24"/>
        </w:rPr>
        <w:t xml:space="preserve">, </w:t>
      </w:r>
      <w:r w:rsidR="00A13BFD">
        <w:rPr>
          <w:rFonts w:cs="Arial"/>
          <w:sz w:val="24"/>
          <w:szCs w:val="24"/>
        </w:rPr>
        <w:t xml:space="preserve">y </w:t>
      </w:r>
      <w:r w:rsidRPr="00E97FF8">
        <w:rPr>
          <w:rFonts w:cs="Arial"/>
          <w:sz w:val="24"/>
          <w:szCs w:val="24"/>
        </w:rPr>
        <w:t xml:space="preserve">distintas opciones para el pago de la cuota mensual, entre otros. </w:t>
      </w:r>
    </w:p>
    <w:p w14:paraId="25753EB5" w14:textId="1DF37914" w:rsidR="001521DF" w:rsidRDefault="001521DF" w:rsidP="00333E28">
      <w:pPr>
        <w:ind w:left="567"/>
        <w:rPr>
          <w:rFonts w:cs="Arial"/>
          <w:b/>
          <w:bCs/>
          <w:sz w:val="24"/>
          <w:szCs w:val="24"/>
        </w:rPr>
      </w:pPr>
    </w:p>
    <w:p w14:paraId="2078A725" w14:textId="5C19FD75" w:rsidR="001521DF" w:rsidRPr="001521DF" w:rsidRDefault="001521DF" w:rsidP="00333E28">
      <w:pPr>
        <w:ind w:left="567"/>
        <w:rPr>
          <w:rFonts w:cs="Arial"/>
          <w:sz w:val="24"/>
          <w:szCs w:val="24"/>
        </w:rPr>
      </w:pPr>
      <w:r w:rsidRPr="001521DF">
        <w:rPr>
          <w:rFonts w:cs="Arial"/>
          <w:sz w:val="24"/>
          <w:szCs w:val="24"/>
        </w:rPr>
        <w:lastRenderedPageBreak/>
        <w:t xml:space="preserve">Para Sergio </w:t>
      </w:r>
      <w:r>
        <w:rPr>
          <w:rFonts w:cs="Arial"/>
          <w:sz w:val="24"/>
          <w:szCs w:val="24"/>
        </w:rPr>
        <w:t>O</w:t>
      </w:r>
      <w:r w:rsidRPr="001521DF">
        <w:rPr>
          <w:rFonts w:cs="Arial"/>
          <w:sz w:val="24"/>
          <w:szCs w:val="24"/>
        </w:rPr>
        <w:t>larte</w:t>
      </w:r>
      <w:r>
        <w:rPr>
          <w:rFonts w:cs="Arial"/>
          <w:sz w:val="24"/>
          <w:szCs w:val="24"/>
        </w:rPr>
        <w:t xml:space="preserve">, economista principal de Scotiabank Colpatria, </w:t>
      </w:r>
      <w:r w:rsidR="000A40DD">
        <w:rPr>
          <w:rFonts w:cs="Arial"/>
          <w:sz w:val="24"/>
          <w:szCs w:val="24"/>
        </w:rPr>
        <w:t>“</w:t>
      </w:r>
      <w:r>
        <w:rPr>
          <w:rFonts w:cs="Arial"/>
          <w:sz w:val="24"/>
          <w:szCs w:val="24"/>
        </w:rPr>
        <w:t>si el colombiano en el exterior sigue teniendo en sus planes</w:t>
      </w:r>
      <w:r w:rsidR="000D46F4">
        <w:rPr>
          <w:rFonts w:cs="Arial"/>
          <w:sz w:val="24"/>
          <w:szCs w:val="24"/>
        </w:rPr>
        <w:t xml:space="preserve"> </w:t>
      </w:r>
      <w:r>
        <w:rPr>
          <w:rFonts w:cs="Arial"/>
          <w:sz w:val="24"/>
          <w:szCs w:val="24"/>
        </w:rPr>
        <w:t>regresar en algún momento al país</w:t>
      </w:r>
      <w:r w:rsidR="000D46F4">
        <w:rPr>
          <w:rFonts w:cs="Arial"/>
          <w:sz w:val="24"/>
          <w:szCs w:val="24"/>
        </w:rPr>
        <w:t xml:space="preserve"> o si desea tener una inversión</w:t>
      </w:r>
      <w:r>
        <w:rPr>
          <w:rFonts w:cs="Arial"/>
          <w:sz w:val="24"/>
          <w:szCs w:val="24"/>
        </w:rPr>
        <w:t>, siempre el sector inmobiliario será una buena alternativa de ahorro para el capital que desee mantener en pesos, si bien es un ahorro que no genera una liquidez inmediata, si se constituye en un ahorro a largo plazo que puede resultar atractivo para quienes deseen acceder al inmueble estando fuera del país</w:t>
      </w:r>
      <w:r w:rsidR="000A40DD">
        <w:rPr>
          <w:rFonts w:cs="Arial"/>
          <w:sz w:val="24"/>
          <w:szCs w:val="24"/>
        </w:rPr>
        <w:t>”</w:t>
      </w:r>
      <w:r>
        <w:rPr>
          <w:rFonts w:cs="Arial"/>
          <w:sz w:val="24"/>
          <w:szCs w:val="24"/>
        </w:rPr>
        <w:t>.</w:t>
      </w:r>
    </w:p>
    <w:p w14:paraId="0421D9C0" w14:textId="52C1F8C8" w:rsidR="009D09A8" w:rsidRDefault="009D09A8" w:rsidP="00333E28">
      <w:pPr>
        <w:pStyle w:val="NormalWeb"/>
        <w:shd w:val="clear" w:color="auto" w:fill="FFFFFF"/>
        <w:spacing w:before="0" w:beforeAutospacing="0" w:after="0" w:afterAutospacing="0"/>
        <w:ind w:left="567"/>
        <w:jc w:val="both"/>
        <w:textAlignment w:val="baseline"/>
        <w:rPr>
          <w:rFonts w:ascii="Arial" w:hAnsi="Arial" w:cs="Arial"/>
          <w:b/>
          <w:bCs/>
          <w:color w:val="000000"/>
          <w:sz w:val="20"/>
          <w:szCs w:val="20"/>
          <w:u w:val="single"/>
          <w:lang w:val="es-ES"/>
        </w:rPr>
      </w:pPr>
    </w:p>
    <w:p w14:paraId="443E455E" w14:textId="7E30374B" w:rsidR="00063BA4" w:rsidRDefault="00063BA4" w:rsidP="00333E28">
      <w:pPr>
        <w:ind w:left="567"/>
        <w:rPr>
          <w:rFonts w:cs="Arial"/>
          <w:sz w:val="24"/>
          <w:szCs w:val="24"/>
        </w:rPr>
      </w:pPr>
      <w:r w:rsidRPr="00E97FF8">
        <w:rPr>
          <w:rFonts w:cs="Arial"/>
          <w:sz w:val="24"/>
          <w:szCs w:val="24"/>
        </w:rPr>
        <w:t xml:space="preserve">Los interesados en conocer más acerca </w:t>
      </w:r>
      <w:r>
        <w:rPr>
          <w:rFonts w:cs="Arial"/>
          <w:sz w:val="24"/>
          <w:szCs w:val="24"/>
        </w:rPr>
        <w:t xml:space="preserve">de los beneficios y requisitos para obtener un </w:t>
      </w:r>
      <w:r w:rsidRPr="00E97FF8">
        <w:rPr>
          <w:rFonts w:cs="Arial"/>
          <w:sz w:val="24"/>
          <w:szCs w:val="24"/>
        </w:rPr>
        <w:t xml:space="preserve"> crédito de vivienda para residentes en el exterior, pueden ingresar a: </w:t>
      </w:r>
      <w:hyperlink r:id="rId11" w:history="1">
        <w:r w:rsidRPr="00E97FF8">
          <w:rPr>
            <w:rStyle w:val="Hipervnculo"/>
            <w:rFonts w:cs="Arial"/>
            <w:sz w:val="24"/>
            <w:szCs w:val="24"/>
          </w:rPr>
          <w:t>https://www.scotiabankcolpatria.com/personas/hipotecario/compra-de-inmuebles/vivienda-residentes-en-el-exterior</w:t>
        </w:r>
      </w:hyperlink>
      <w:r w:rsidRPr="00E97FF8">
        <w:rPr>
          <w:rFonts w:cs="Arial"/>
          <w:sz w:val="24"/>
          <w:szCs w:val="24"/>
        </w:rPr>
        <w:t xml:space="preserve"> acercarse a la sucursal bancaria más cercana o comunicarse con las líneas de atención en Bogotá: </w:t>
      </w:r>
      <w:r>
        <w:rPr>
          <w:rFonts w:cs="Arial"/>
          <w:sz w:val="24"/>
          <w:szCs w:val="24"/>
        </w:rPr>
        <w:t xml:space="preserve">(601) </w:t>
      </w:r>
      <w:r w:rsidR="000C2F30">
        <w:rPr>
          <w:rFonts w:cs="Arial"/>
          <w:sz w:val="24"/>
          <w:szCs w:val="24"/>
        </w:rPr>
        <w:t>756 1616</w:t>
      </w:r>
      <w:r w:rsidRPr="00E97FF8">
        <w:rPr>
          <w:rFonts w:cs="Arial"/>
          <w:sz w:val="24"/>
          <w:szCs w:val="24"/>
        </w:rPr>
        <w:t xml:space="preserve"> y a nivel nacional 01 8000 52 7000.</w:t>
      </w:r>
    </w:p>
    <w:p w14:paraId="76720312" w14:textId="63F7FD14" w:rsidR="003731FC" w:rsidRPr="003731FC" w:rsidRDefault="003731FC" w:rsidP="00333E28">
      <w:pPr>
        <w:pStyle w:val="NormalWeb"/>
        <w:shd w:val="clear" w:color="auto" w:fill="FFFFFF"/>
        <w:spacing w:before="0" w:beforeAutospacing="0" w:after="0" w:afterAutospacing="0"/>
        <w:ind w:left="567"/>
        <w:jc w:val="both"/>
        <w:textAlignment w:val="baseline"/>
        <w:rPr>
          <w:rFonts w:ascii="Arial" w:hAnsi="Arial" w:cs="Arial"/>
          <w:b/>
          <w:bCs/>
          <w:color w:val="000000"/>
          <w:sz w:val="20"/>
          <w:szCs w:val="20"/>
          <w:u w:val="single"/>
          <w:lang w:val="es-ES"/>
        </w:rPr>
      </w:pPr>
    </w:p>
    <w:p w14:paraId="7745AB86" w14:textId="353AA467" w:rsidR="005A3CFE" w:rsidRDefault="005A3CFE" w:rsidP="00333E28">
      <w:pPr>
        <w:pStyle w:val="NormalWeb"/>
        <w:shd w:val="clear" w:color="auto" w:fill="FFFFFF"/>
        <w:spacing w:before="0" w:beforeAutospacing="0" w:after="0" w:afterAutospacing="0"/>
        <w:ind w:left="567"/>
        <w:jc w:val="both"/>
        <w:textAlignment w:val="baseline"/>
        <w:rPr>
          <w:rFonts w:ascii="Arial" w:hAnsi="Arial" w:cs="Arial"/>
          <w:b/>
          <w:bCs/>
          <w:color w:val="000000"/>
          <w:sz w:val="20"/>
          <w:szCs w:val="20"/>
          <w:u w:val="single"/>
        </w:rPr>
      </w:pPr>
    </w:p>
    <w:p w14:paraId="25C1CB20" w14:textId="77777777" w:rsidR="00333E28" w:rsidRPr="009D09A8" w:rsidRDefault="00333E28" w:rsidP="00333E28">
      <w:pPr>
        <w:pStyle w:val="NormalWeb"/>
        <w:shd w:val="clear" w:color="auto" w:fill="FFFFFF"/>
        <w:spacing w:before="0" w:beforeAutospacing="0" w:after="0" w:afterAutospacing="0"/>
        <w:ind w:left="567"/>
        <w:jc w:val="both"/>
        <w:textAlignment w:val="baseline"/>
        <w:rPr>
          <w:rFonts w:ascii="Arial" w:hAnsi="Arial" w:cs="Arial"/>
          <w:b/>
          <w:bCs/>
          <w:color w:val="000000"/>
          <w:sz w:val="20"/>
          <w:szCs w:val="20"/>
          <w:u w:val="single"/>
        </w:rPr>
      </w:pPr>
    </w:p>
    <w:p w14:paraId="08A19C57" w14:textId="050C6B58" w:rsidR="005A3CFE" w:rsidRDefault="005A3CFE" w:rsidP="00333E28">
      <w:pPr>
        <w:pStyle w:val="NormalWeb"/>
        <w:shd w:val="clear" w:color="auto" w:fill="FFFFFF"/>
        <w:spacing w:before="0" w:beforeAutospacing="0" w:after="0" w:afterAutospacing="0"/>
        <w:ind w:left="567"/>
        <w:jc w:val="both"/>
        <w:textAlignment w:val="baseline"/>
        <w:rPr>
          <w:rFonts w:ascii="Arial" w:hAnsi="Arial" w:cs="Arial"/>
          <w:b/>
          <w:bCs/>
          <w:color w:val="000000"/>
          <w:sz w:val="20"/>
          <w:szCs w:val="20"/>
          <w:u w:val="single"/>
          <w:lang w:val="es-CO"/>
        </w:rPr>
      </w:pPr>
    </w:p>
    <w:p w14:paraId="487EB841" w14:textId="77777777" w:rsidR="005A3CFE" w:rsidRDefault="005A3CFE" w:rsidP="00333E28">
      <w:pPr>
        <w:pStyle w:val="NormalWeb"/>
        <w:shd w:val="clear" w:color="auto" w:fill="FFFFFF"/>
        <w:spacing w:before="0" w:beforeAutospacing="0" w:after="0" w:afterAutospacing="0"/>
        <w:ind w:left="567"/>
        <w:jc w:val="both"/>
        <w:textAlignment w:val="baseline"/>
        <w:rPr>
          <w:rFonts w:ascii="Arial" w:hAnsi="Arial" w:cs="Arial"/>
          <w:b/>
          <w:bCs/>
          <w:color w:val="000000"/>
          <w:sz w:val="20"/>
          <w:szCs w:val="20"/>
          <w:u w:val="single"/>
          <w:lang w:val="es-CO"/>
        </w:rPr>
      </w:pPr>
    </w:p>
    <w:p w14:paraId="7C74F505" w14:textId="4ECE529B" w:rsidR="000E6E69" w:rsidRPr="00E275A8" w:rsidRDefault="000E6E69" w:rsidP="00333E28">
      <w:pPr>
        <w:pStyle w:val="NormalWeb"/>
        <w:shd w:val="clear" w:color="auto" w:fill="FFFFFF"/>
        <w:spacing w:before="0" w:beforeAutospacing="0" w:after="0" w:afterAutospacing="0"/>
        <w:ind w:left="567"/>
        <w:jc w:val="both"/>
        <w:textAlignment w:val="baseline"/>
        <w:rPr>
          <w:rFonts w:ascii="Arial" w:hAnsi="Arial" w:cs="Arial"/>
          <w:color w:val="191820"/>
          <w:sz w:val="20"/>
          <w:szCs w:val="20"/>
          <w:lang w:val="es-CO"/>
        </w:rPr>
      </w:pPr>
      <w:r w:rsidRPr="00E275A8">
        <w:rPr>
          <w:rFonts w:ascii="Arial" w:hAnsi="Arial" w:cs="Arial"/>
          <w:b/>
          <w:bCs/>
          <w:color w:val="000000"/>
          <w:sz w:val="20"/>
          <w:szCs w:val="20"/>
          <w:u w:val="single"/>
          <w:lang w:val="es-CO"/>
        </w:rPr>
        <w:t xml:space="preserve">Acerca de Scotiabank Colpatria </w:t>
      </w:r>
    </w:p>
    <w:p w14:paraId="2DE8C6B7" w14:textId="359B0E61" w:rsidR="000E6E69" w:rsidRPr="00E275A8" w:rsidRDefault="000E6E69" w:rsidP="00333E28">
      <w:pPr>
        <w:ind w:left="567"/>
        <w:rPr>
          <w:rFonts w:cs="Arial"/>
          <w:lang w:val="es-CO"/>
        </w:rPr>
      </w:pPr>
      <w:r w:rsidRPr="00E275A8">
        <w:rPr>
          <w:rFonts w:cs="Arial"/>
          <w:b/>
          <w:bCs/>
          <w:lang w:val="es-CO"/>
        </w:rPr>
        <w:t>Scotiabank Colpatria</w:t>
      </w:r>
      <w:r w:rsidRPr="00E275A8">
        <w:rPr>
          <w:rFonts w:cs="Arial"/>
          <w:lang w:val="es-CO"/>
        </w:rPr>
        <w:t xml:space="preserve"> cuenta con un amplio portafolio en el cual se destacan créditos a clientes del segmento Corporativo, Empresarial y Pyme, así como crédito de consumo, préstamos hipotecarios, entre otros. Es uno de los principales emisores de tarjetas de crédito (incluidas marcas compartidas), y de crédito rotativo. Tiene presencia en 33 ciudades colombianas, una amplia red de oficinas, corresponsalía bancaria y más de 700 cajeros automáticos propios a nivel nacional. Para acceder al variado portafolio de productos se puede consultar la página web: </w:t>
      </w:r>
      <w:hyperlink r:id="rId12" w:history="1">
        <w:r w:rsidRPr="00E275A8">
          <w:rPr>
            <w:rStyle w:val="Hipervnculo"/>
            <w:rFonts w:cs="Arial"/>
            <w:lang w:val="es-CO"/>
          </w:rPr>
          <w:t>www.scotiabankcolpatria.com</w:t>
        </w:r>
      </w:hyperlink>
      <w:r w:rsidRPr="00E275A8">
        <w:rPr>
          <w:rFonts w:cs="Arial"/>
          <w:lang w:val="es-CO"/>
        </w:rPr>
        <w:t xml:space="preserve">, con la fuerza comercial en las sucursales o en la línea de atención en Bogotá </w:t>
      </w:r>
      <w:r w:rsidR="001050EE">
        <w:rPr>
          <w:rFonts w:cs="Arial"/>
          <w:lang w:val="es-CO"/>
        </w:rPr>
        <w:t xml:space="preserve">(601) </w:t>
      </w:r>
      <w:r w:rsidRPr="00E275A8">
        <w:rPr>
          <w:rFonts w:cs="Arial"/>
          <w:lang w:val="es-CO"/>
        </w:rPr>
        <w:t>756 1616 y a nivel nacional 01 8000 522222.</w:t>
      </w:r>
    </w:p>
    <w:p w14:paraId="561C24BC" w14:textId="77777777" w:rsidR="000E6E69" w:rsidRPr="00E275A8" w:rsidRDefault="000E6E69" w:rsidP="00333E28">
      <w:pPr>
        <w:ind w:left="567"/>
        <w:rPr>
          <w:rFonts w:cs="Arial"/>
          <w:b/>
          <w:bCs/>
          <w:u w:val="single"/>
          <w:lang w:val="es-CO"/>
        </w:rPr>
      </w:pPr>
    </w:p>
    <w:p w14:paraId="10BA1A5D" w14:textId="77777777" w:rsidR="000E6E69" w:rsidRPr="00E275A8" w:rsidRDefault="000E6E69" w:rsidP="00333E28">
      <w:pPr>
        <w:ind w:left="567"/>
        <w:rPr>
          <w:rFonts w:cs="Arial"/>
          <w:b/>
          <w:bCs/>
          <w:u w:val="single"/>
          <w:lang w:val="es-CO"/>
        </w:rPr>
      </w:pPr>
      <w:r w:rsidRPr="00E275A8">
        <w:rPr>
          <w:rFonts w:cs="Arial"/>
          <w:b/>
          <w:bCs/>
          <w:u w:val="single"/>
          <w:lang w:val="es-CO"/>
        </w:rPr>
        <w:t>Acerca de Scotiabank</w:t>
      </w:r>
    </w:p>
    <w:p w14:paraId="7343FBA3" w14:textId="303D54AA" w:rsidR="003D0AC9" w:rsidRPr="005A3CFE" w:rsidRDefault="000E6E69" w:rsidP="00333E28">
      <w:pPr>
        <w:ind w:left="567"/>
        <w:rPr>
          <w:rFonts w:cs="Arial"/>
          <w:lang w:val="es-CO"/>
        </w:rPr>
      </w:pPr>
      <w:r w:rsidRPr="002C4E58">
        <w:rPr>
          <w:rFonts w:cs="Arial"/>
          <w:lang w:val="es-CO"/>
        </w:rPr>
        <w:t>Scotiabank es un banco líder en las Américas. Inspirándonos en nuestro propósito corporativo, “por nuestro futuro”, ayudamos a nuestros clientes, sus familias y sus comunidades a lograr el éxito a través de una completa gama de asesoría, productos y servicios en los sectores de banca personal y comercial, gestión patrimonial, banca privada, corporativa y de inversión, y mercados de capital. Con un equipo de más de 90,000 empleados y alrededor de $1.2 billones en activos (al 31 de julio de 2021), Scotiabank cotiza sus acciones en la Bolsa de Valores de Toronto (TSX: BNS) y la Bolsa de Valores de Nueva York (NYSE: BNS). Para obtener más información, visite http://www.scotiabank.com y síganos en Twitter @</w:t>
      </w:r>
      <w:proofErr w:type="spellStart"/>
      <w:r w:rsidRPr="002C4E58">
        <w:rPr>
          <w:rFonts w:cs="Arial"/>
          <w:lang w:val="es-CO"/>
        </w:rPr>
        <w:t>ScotiabankViews</w:t>
      </w:r>
      <w:proofErr w:type="spellEnd"/>
      <w:r w:rsidRPr="002C4E58">
        <w:rPr>
          <w:rFonts w:cs="Arial"/>
          <w:lang w:val="es-CO"/>
        </w:rPr>
        <w:t>.</w:t>
      </w:r>
    </w:p>
    <w:sectPr w:rsidR="003D0AC9" w:rsidRPr="005A3CFE" w:rsidSect="00333E28">
      <w:headerReference w:type="default" r:id="rId13"/>
      <w:footerReference w:type="even" r:id="rId14"/>
      <w:footerReference w:type="default" r:id="rId15"/>
      <w:pgSz w:w="12240" w:h="15840"/>
      <w:pgMar w:top="108" w:right="1750" w:bottom="1440" w:left="1276"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C798A" w14:textId="77777777" w:rsidR="009A3D3E" w:rsidRDefault="009A3D3E" w:rsidP="00EF428A">
      <w:r>
        <w:separator/>
      </w:r>
    </w:p>
  </w:endnote>
  <w:endnote w:type="continuationSeparator" w:id="0">
    <w:p w14:paraId="0180EAF5" w14:textId="77777777" w:rsidR="009A3D3E" w:rsidRDefault="009A3D3E" w:rsidP="00EF428A">
      <w:r>
        <w:continuationSeparator/>
      </w:r>
    </w:p>
  </w:endnote>
  <w:endnote w:type="continuationNotice" w:id="1">
    <w:p w14:paraId="4491934B" w14:textId="77777777" w:rsidR="009A3D3E" w:rsidRDefault="009A3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cotia">
    <w:altName w:val="Calibri"/>
    <w:panose1 w:val="020B0503020203020204"/>
    <w:charset w:val="00"/>
    <w:family w:val="swiss"/>
    <w:pitch w:val="variable"/>
    <w:sig w:usb0="A000006F" w:usb1="0200005B" w:usb2="00000000" w:usb3="00000000" w:csb0="00000013" w:csb1="00000000"/>
  </w:font>
  <w:font w:name="Scoti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5891" w14:textId="77777777" w:rsidR="00246076" w:rsidRPr="00B84BA6" w:rsidRDefault="00246076" w:rsidP="00B84BA6">
    <w:pPr>
      <w:pStyle w:val="Piedepgina"/>
      <w:jc w:val="right"/>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93BE" w14:textId="77777777" w:rsidR="00616044" w:rsidRDefault="006C758A">
    <w:pPr>
      <w:pStyle w:val="Piedepgina"/>
      <w:rPr>
        <w:sz w:val="14"/>
      </w:rPr>
    </w:pPr>
    <w:r w:rsidRPr="00A40678">
      <w:rPr>
        <w:rFonts w:ascii="Scotia-Regular" w:hAnsi="Scotia-Regular" w:cs="Scotia-Regular"/>
        <w:color w:val="616060"/>
        <w:sz w:val="12"/>
        <w:szCs w:val="12"/>
      </w:rPr>
      <w:t>®</w:t>
    </w:r>
    <w:r w:rsidRPr="006C758A">
      <w:rPr>
        <w:sz w:val="14"/>
      </w:rPr>
      <w:t xml:space="preserve">Marca registrada de </w:t>
    </w:r>
    <w:proofErr w:type="spellStart"/>
    <w:r w:rsidRPr="006C758A">
      <w:rPr>
        <w:sz w:val="14"/>
      </w:rPr>
      <w:t>The</w:t>
    </w:r>
    <w:proofErr w:type="spellEnd"/>
    <w:r w:rsidRPr="006C758A">
      <w:rPr>
        <w:sz w:val="14"/>
      </w:rPr>
      <w:t xml:space="preserve"> Bank </w:t>
    </w:r>
    <w:proofErr w:type="spellStart"/>
    <w:r w:rsidRPr="006C758A">
      <w:rPr>
        <w:sz w:val="14"/>
      </w:rPr>
      <w:t>of</w:t>
    </w:r>
    <w:proofErr w:type="spellEnd"/>
    <w:r w:rsidRPr="006C758A">
      <w:rPr>
        <w:sz w:val="14"/>
      </w:rPr>
      <w:t xml:space="preserve"> Nova </w:t>
    </w:r>
    <w:proofErr w:type="spellStart"/>
    <w:r w:rsidRPr="006C758A">
      <w:rPr>
        <w:sz w:val="14"/>
      </w:rPr>
      <w:t>Scotia</w:t>
    </w:r>
    <w:proofErr w:type="spellEnd"/>
    <w:r w:rsidRPr="006C758A">
      <w:rPr>
        <w:sz w:val="14"/>
      </w:rPr>
      <w:t>, utilizada bajo licencia. Scotiabank Colpatria Establecimiento Bancario</w:t>
    </w:r>
  </w:p>
  <w:p w14:paraId="473EB3DE" w14:textId="77777777" w:rsidR="00931E97" w:rsidRDefault="00931E97">
    <w:pPr>
      <w:pStyle w:val="Piedepgina"/>
      <w:rPr>
        <w:sz w:val="14"/>
      </w:rPr>
    </w:pPr>
  </w:p>
  <w:p w14:paraId="4B872F4D" w14:textId="77777777" w:rsidR="00167D9A" w:rsidRPr="00167D9A" w:rsidRDefault="009A3D3E" w:rsidP="00931E97">
    <w:pPr>
      <w:pStyle w:val="Piedepgina"/>
      <w:rPr>
        <w:b/>
        <w:color w:val="FF0000"/>
        <w:sz w:val="18"/>
        <w:szCs w:val="18"/>
      </w:rPr>
    </w:pPr>
    <w:hyperlink r:id="rId1" w:history="1">
      <w:r w:rsidR="00167D9A" w:rsidRPr="00167D9A">
        <w:rPr>
          <w:rStyle w:val="Hipervnculo"/>
          <w:b/>
          <w:color w:val="FF0000"/>
          <w:sz w:val="18"/>
          <w:szCs w:val="18"/>
          <w:u w:val="none"/>
        </w:rPr>
        <w:t>https://www.scotiabankcolpatria.com/sala-de-prensa</w:t>
      </w:r>
    </w:hyperlink>
  </w:p>
  <w:p w14:paraId="1C2E8D25" w14:textId="77777777" w:rsidR="00931E97" w:rsidRPr="00167D9A" w:rsidRDefault="00931E97" w:rsidP="00931E97">
    <w:pPr>
      <w:pStyle w:val="Piedepgina"/>
      <w:rPr>
        <w:b/>
        <w:color w:val="FF0000"/>
        <w:sz w:val="18"/>
        <w:szCs w:val="18"/>
      </w:rPr>
    </w:pPr>
    <w:r w:rsidRPr="00167D9A">
      <w:rPr>
        <w:b/>
        <w:color w:val="FF0000"/>
        <w:sz w:val="18"/>
        <w:szCs w:val="18"/>
      </w:rPr>
      <w:t>Carrera 7 No. 24-89</w:t>
    </w:r>
    <w:r w:rsidR="00167D9A" w:rsidRPr="00167D9A">
      <w:rPr>
        <w:b/>
        <w:color w:val="FF0000"/>
        <w:sz w:val="18"/>
        <w:szCs w:val="18"/>
      </w:rPr>
      <w:t xml:space="preserve"> Bogotá, Colombia.</w:t>
    </w:r>
  </w:p>
  <w:p w14:paraId="40E974B2" w14:textId="1DF8C5C4" w:rsidR="00167D9A" w:rsidRPr="00167D9A" w:rsidRDefault="00931E97" w:rsidP="00931E97">
    <w:pPr>
      <w:pStyle w:val="Piedepgina"/>
      <w:rPr>
        <w:b/>
        <w:color w:val="FF0000"/>
        <w:sz w:val="18"/>
        <w:szCs w:val="18"/>
      </w:rPr>
    </w:pPr>
    <w:r w:rsidRPr="00167D9A">
      <w:rPr>
        <w:b/>
        <w:color w:val="FF0000"/>
        <w:sz w:val="18"/>
        <w:szCs w:val="18"/>
      </w:rPr>
      <w:t xml:space="preserve">Línea de atención: </w:t>
    </w:r>
    <w:r w:rsidR="00167D9A" w:rsidRPr="00167D9A">
      <w:rPr>
        <w:b/>
        <w:color w:val="FF0000"/>
        <w:sz w:val="18"/>
        <w:szCs w:val="18"/>
      </w:rPr>
      <w:t>+57 (</w:t>
    </w:r>
    <w:r w:rsidR="00A75FD0">
      <w:rPr>
        <w:b/>
        <w:color w:val="FF0000"/>
        <w:sz w:val="18"/>
        <w:szCs w:val="18"/>
      </w:rPr>
      <w:t>60</w:t>
    </w:r>
    <w:r w:rsidR="00167D9A" w:rsidRPr="00167D9A">
      <w:rPr>
        <w:b/>
        <w:color w:val="FF0000"/>
        <w:sz w:val="18"/>
        <w:szCs w:val="18"/>
      </w:rPr>
      <w:t xml:space="preserve">1) </w:t>
    </w:r>
    <w:r w:rsidRPr="00167D9A">
      <w:rPr>
        <w:rStyle w:val="topfootercolumn-text"/>
        <w:rFonts w:eastAsia="Calibri"/>
        <w:b/>
        <w:color w:val="FF0000"/>
        <w:sz w:val="18"/>
        <w:szCs w:val="18"/>
      </w:rPr>
      <w:t>7</w:t>
    </w:r>
    <w:r w:rsidR="00A75FD0">
      <w:rPr>
        <w:rStyle w:val="topfootercolumn-text"/>
        <w:rFonts w:eastAsia="Calibri"/>
        <w:b/>
        <w:color w:val="FF0000"/>
        <w:sz w:val="18"/>
        <w:szCs w:val="18"/>
      </w:rPr>
      <w:t>56</w:t>
    </w:r>
    <w:r w:rsidRPr="00167D9A">
      <w:rPr>
        <w:rStyle w:val="topfootercolumn-text"/>
        <w:rFonts w:eastAsia="Calibri"/>
        <w:b/>
        <w:color w:val="FF0000"/>
        <w:sz w:val="18"/>
        <w:szCs w:val="18"/>
      </w:rPr>
      <w:t xml:space="preserve"> </w:t>
    </w:r>
    <w:r w:rsidR="00A75FD0">
      <w:rPr>
        <w:rStyle w:val="topfootercolumn-text"/>
        <w:rFonts w:eastAsia="Calibri"/>
        <w:b/>
        <w:color w:val="FF0000"/>
        <w:sz w:val="18"/>
        <w:szCs w:val="18"/>
      </w:rPr>
      <w:t>1616</w:t>
    </w:r>
    <w:r w:rsidRPr="00167D9A">
      <w:rPr>
        <w:rStyle w:val="topfootercolumn-text"/>
        <w:rFonts w:eastAsia="Calibri"/>
        <w:b/>
        <w:color w:val="FF0000"/>
        <w:sz w:val="18"/>
        <w:szCs w:val="18"/>
      </w:rPr>
      <w:t xml:space="preserve"> </w:t>
    </w:r>
  </w:p>
  <w:p w14:paraId="572EA99A" w14:textId="77777777" w:rsidR="00931E97" w:rsidRPr="00167D9A" w:rsidRDefault="00931E97" w:rsidP="00931E97">
    <w:pPr>
      <w:pStyle w:val="Piedepgina"/>
      <w:rPr>
        <w:b/>
        <w:color w:val="FF0000"/>
        <w:sz w:val="18"/>
        <w:szCs w:val="18"/>
      </w:rPr>
    </w:pPr>
    <w:r w:rsidRPr="00167D9A">
      <w:rPr>
        <w:b/>
        <w:color w:val="FF0000"/>
        <w:sz w:val="18"/>
        <w:szCs w:val="18"/>
      </w:rPr>
      <w:t>Contacto Relaciones Públicas:</w:t>
    </w:r>
  </w:p>
  <w:p w14:paraId="342D6A17" w14:textId="77777777" w:rsidR="00931E97" w:rsidRPr="00167D9A" w:rsidRDefault="00931E97" w:rsidP="00931E97">
    <w:pPr>
      <w:pStyle w:val="Piedepgina"/>
      <w:rPr>
        <w:b/>
        <w:color w:val="FF0000"/>
        <w:sz w:val="18"/>
        <w:szCs w:val="18"/>
      </w:rPr>
    </w:pPr>
    <w:r w:rsidRPr="00167D9A">
      <w:rPr>
        <w:b/>
        <w:color w:val="FF0000"/>
        <w:sz w:val="18"/>
        <w:szCs w:val="18"/>
      </w:rPr>
      <w:t>Maria Mercedes Ruiz - Cel: 320 3735194</w:t>
    </w:r>
  </w:p>
  <w:p w14:paraId="4D4BB278" w14:textId="77777777" w:rsidR="00931E97" w:rsidRPr="00167D9A" w:rsidRDefault="00931E97" w:rsidP="00931E97">
    <w:pPr>
      <w:pStyle w:val="Piedepgina"/>
      <w:rPr>
        <w:b/>
        <w:color w:val="FF0000"/>
        <w:sz w:val="18"/>
        <w:szCs w:val="18"/>
      </w:rPr>
    </w:pPr>
    <w:r w:rsidRPr="00167D9A">
      <w:rPr>
        <w:b/>
        <w:color w:val="FF0000"/>
        <w:sz w:val="18"/>
        <w:szCs w:val="18"/>
      </w:rPr>
      <w:t>Iván Sánchez – Cel: 311 5265428</w:t>
    </w:r>
  </w:p>
  <w:p w14:paraId="6C0A95AF" w14:textId="77777777" w:rsidR="00931E97" w:rsidRPr="00167D9A" w:rsidRDefault="00931E97" w:rsidP="00931E97">
    <w:pPr>
      <w:pStyle w:val="Piedepgina"/>
      <w:rPr>
        <w:b/>
        <w:color w:val="FF0000"/>
        <w:sz w:val="18"/>
        <w:szCs w:val="18"/>
      </w:rPr>
    </w:pPr>
    <w:r w:rsidRPr="00167D9A">
      <w:rPr>
        <w:b/>
        <w:color w:val="FF0000"/>
        <w:sz w:val="18"/>
        <w:szCs w:val="18"/>
      </w:rPr>
      <w:t xml:space="preserve">Camilo Hurtado – Cel: 316 2732345 </w:t>
    </w:r>
  </w:p>
  <w:p w14:paraId="6D1D5095" w14:textId="77777777" w:rsidR="00931E97" w:rsidRDefault="00931E97">
    <w:pPr>
      <w:pStyle w:val="Piedepgina"/>
    </w:pPr>
  </w:p>
  <w:p w14:paraId="18A967A1" w14:textId="77777777" w:rsidR="00246076" w:rsidRPr="00784925" w:rsidRDefault="00246076" w:rsidP="00784925">
    <w:pPr>
      <w:pStyle w:val="Piedepgina"/>
      <w:jc w:val="right"/>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0B8CC" w14:textId="77777777" w:rsidR="009A3D3E" w:rsidRDefault="009A3D3E" w:rsidP="00EF428A">
      <w:r>
        <w:separator/>
      </w:r>
    </w:p>
  </w:footnote>
  <w:footnote w:type="continuationSeparator" w:id="0">
    <w:p w14:paraId="0F584B74" w14:textId="77777777" w:rsidR="009A3D3E" w:rsidRDefault="009A3D3E" w:rsidP="00EF428A">
      <w:r>
        <w:continuationSeparator/>
      </w:r>
    </w:p>
  </w:footnote>
  <w:footnote w:type="continuationNotice" w:id="1">
    <w:p w14:paraId="1B7D931C" w14:textId="77777777" w:rsidR="009A3D3E" w:rsidRDefault="009A3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E041" w14:textId="77777777" w:rsidR="00246076" w:rsidRPr="00CE5D2D" w:rsidRDefault="006924A6" w:rsidP="006C758A">
    <w:pPr>
      <w:pStyle w:val="Encabezado"/>
      <w:jc w:val="right"/>
    </w:pPr>
    <w:r w:rsidRPr="006C020A">
      <w:rPr>
        <w:rFonts w:ascii="Scotia" w:hAnsi="Scotia"/>
        <w:noProof/>
        <w:color w:val="404040" w:themeColor="text1" w:themeTint="BF"/>
        <w:lang w:val="es-CO" w:eastAsia="es-CO"/>
      </w:rPr>
      <w:drawing>
        <wp:anchor distT="0" distB="0" distL="114300" distR="114300" simplePos="0" relativeHeight="251659264" behindDoc="0" locked="1" layoutInCell="1" allowOverlap="1" wp14:anchorId="3AC0A925" wp14:editId="4E002129">
          <wp:simplePos x="0" y="0"/>
          <wp:positionH relativeFrom="column">
            <wp:posOffset>-358140</wp:posOffset>
          </wp:positionH>
          <wp:positionV relativeFrom="page">
            <wp:posOffset>6547485</wp:posOffset>
          </wp:positionV>
          <wp:extent cx="100330" cy="1383030"/>
          <wp:effectExtent l="0" t="0" r="0" b="762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46852"/>
                  <a:stretch/>
                </pic:blipFill>
                <pic:spPr bwMode="auto">
                  <a:xfrm>
                    <a:off x="0" y="0"/>
                    <a:ext cx="100330" cy="1383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758A">
      <w:rPr>
        <w:noProof/>
        <w:lang w:val="es-CO" w:eastAsia="es-CO"/>
      </w:rPr>
      <w:drawing>
        <wp:inline distT="0" distB="0" distL="0" distR="0" wp14:anchorId="2AB2CC32" wp14:editId="28506B50">
          <wp:extent cx="2705100" cy="358775"/>
          <wp:effectExtent l="0" t="0" r="0" b="0"/>
          <wp:docPr id="6" name="Imagen 6" descr="C:\Users\morenogn\AppData\Local\Microsoft\Windows\INetCache\Content.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enogn\AppData\Local\Microsoft\Windows\INetCache\Content.Word\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l="9618" t="39819" r="11588" b="38242"/>
                  <a:stretch/>
                </pic:blipFill>
                <pic:spPr bwMode="auto">
                  <a:xfrm>
                    <a:off x="0" y="0"/>
                    <a:ext cx="2705100" cy="3587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B6073"/>
    <w:multiLevelType w:val="hybridMultilevel"/>
    <w:tmpl w:val="B300A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A4343D"/>
    <w:multiLevelType w:val="hybridMultilevel"/>
    <w:tmpl w:val="EF1CBD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67D21BD"/>
    <w:multiLevelType w:val="hybridMultilevel"/>
    <w:tmpl w:val="6F3257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E5558A"/>
    <w:multiLevelType w:val="hybridMultilevel"/>
    <w:tmpl w:val="BD1C69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30A61D6"/>
    <w:multiLevelType w:val="hybridMultilevel"/>
    <w:tmpl w:val="4E8E37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46E50F7"/>
    <w:multiLevelType w:val="hybridMultilevel"/>
    <w:tmpl w:val="CFA6B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F06D30"/>
    <w:multiLevelType w:val="hybridMultilevel"/>
    <w:tmpl w:val="4022AF6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1B3986"/>
    <w:multiLevelType w:val="hybridMultilevel"/>
    <w:tmpl w:val="36D27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A1575F2"/>
    <w:multiLevelType w:val="hybridMultilevel"/>
    <w:tmpl w:val="AFEA5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3D1765"/>
    <w:multiLevelType w:val="hybridMultilevel"/>
    <w:tmpl w:val="5010E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8911879"/>
    <w:multiLevelType w:val="hybridMultilevel"/>
    <w:tmpl w:val="41805D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3"/>
  </w:num>
  <w:num w:numId="6">
    <w:abstractNumId w:val="10"/>
  </w:num>
  <w:num w:numId="7">
    <w:abstractNumId w:val="0"/>
  </w:num>
  <w:num w:numId="8">
    <w:abstractNumId w:val="7"/>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8A"/>
    <w:rsid w:val="00000753"/>
    <w:rsid w:val="0000184A"/>
    <w:rsid w:val="00001D06"/>
    <w:rsid w:val="00007228"/>
    <w:rsid w:val="00011FF8"/>
    <w:rsid w:val="000125D3"/>
    <w:rsid w:val="00013308"/>
    <w:rsid w:val="000164A1"/>
    <w:rsid w:val="0001758F"/>
    <w:rsid w:val="000265F4"/>
    <w:rsid w:val="0002754E"/>
    <w:rsid w:val="00030CD6"/>
    <w:rsid w:val="00040C9C"/>
    <w:rsid w:val="00050D9A"/>
    <w:rsid w:val="00053985"/>
    <w:rsid w:val="00061715"/>
    <w:rsid w:val="00063BA4"/>
    <w:rsid w:val="00065B3E"/>
    <w:rsid w:val="00071440"/>
    <w:rsid w:val="00074BEF"/>
    <w:rsid w:val="0007528A"/>
    <w:rsid w:val="000A280A"/>
    <w:rsid w:val="000A40DD"/>
    <w:rsid w:val="000A4776"/>
    <w:rsid w:val="000A4DA1"/>
    <w:rsid w:val="000A76CC"/>
    <w:rsid w:val="000B79F8"/>
    <w:rsid w:val="000C2F30"/>
    <w:rsid w:val="000C4FAA"/>
    <w:rsid w:val="000C7939"/>
    <w:rsid w:val="000D32E5"/>
    <w:rsid w:val="000D46F4"/>
    <w:rsid w:val="000E2A27"/>
    <w:rsid w:val="000E695B"/>
    <w:rsid w:val="000E6E69"/>
    <w:rsid w:val="00101078"/>
    <w:rsid w:val="001050EE"/>
    <w:rsid w:val="00111176"/>
    <w:rsid w:val="001157A1"/>
    <w:rsid w:val="00117217"/>
    <w:rsid w:val="001203DC"/>
    <w:rsid w:val="0012344D"/>
    <w:rsid w:val="00125D55"/>
    <w:rsid w:val="00140DDA"/>
    <w:rsid w:val="0014572A"/>
    <w:rsid w:val="00152060"/>
    <w:rsid w:val="001521DF"/>
    <w:rsid w:val="00152432"/>
    <w:rsid w:val="001540E7"/>
    <w:rsid w:val="00157F52"/>
    <w:rsid w:val="00160E24"/>
    <w:rsid w:val="00167D9A"/>
    <w:rsid w:val="001764EA"/>
    <w:rsid w:val="0017763C"/>
    <w:rsid w:val="00186C0A"/>
    <w:rsid w:val="00195CE4"/>
    <w:rsid w:val="001A1886"/>
    <w:rsid w:val="001A49FD"/>
    <w:rsid w:val="001A6878"/>
    <w:rsid w:val="001B0ED3"/>
    <w:rsid w:val="001B3F32"/>
    <w:rsid w:val="001B692F"/>
    <w:rsid w:val="001C4772"/>
    <w:rsid w:val="001C5F40"/>
    <w:rsid w:val="001D4A07"/>
    <w:rsid w:val="001E0F0E"/>
    <w:rsid w:val="001E1313"/>
    <w:rsid w:val="00204E12"/>
    <w:rsid w:val="0021511E"/>
    <w:rsid w:val="002154BA"/>
    <w:rsid w:val="00223567"/>
    <w:rsid w:val="00225AB3"/>
    <w:rsid w:val="00226E17"/>
    <w:rsid w:val="00234453"/>
    <w:rsid w:val="00234B5C"/>
    <w:rsid w:val="00241C7D"/>
    <w:rsid w:val="00242311"/>
    <w:rsid w:val="00246076"/>
    <w:rsid w:val="00246328"/>
    <w:rsid w:val="00250018"/>
    <w:rsid w:val="00251064"/>
    <w:rsid w:val="00256423"/>
    <w:rsid w:val="00266614"/>
    <w:rsid w:val="002676A8"/>
    <w:rsid w:val="00267778"/>
    <w:rsid w:val="00272A6E"/>
    <w:rsid w:val="00272A93"/>
    <w:rsid w:val="00285E87"/>
    <w:rsid w:val="00290160"/>
    <w:rsid w:val="00297FD4"/>
    <w:rsid w:val="002A3BBB"/>
    <w:rsid w:val="002A403E"/>
    <w:rsid w:val="002A550D"/>
    <w:rsid w:val="002A6C19"/>
    <w:rsid w:val="002B17B4"/>
    <w:rsid w:val="002C032D"/>
    <w:rsid w:val="002C1894"/>
    <w:rsid w:val="002C3235"/>
    <w:rsid w:val="002C4ADF"/>
    <w:rsid w:val="002C6E59"/>
    <w:rsid w:val="002C6F0D"/>
    <w:rsid w:val="002D262F"/>
    <w:rsid w:val="002D72A0"/>
    <w:rsid w:val="002F5EB0"/>
    <w:rsid w:val="0030297E"/>
    <w:rsid w:val="0031355B"/>
    <w:rsid w:val="003160E5"/>
    <w:rsid w:val="00321CBD"/>
    <w:rsid w:val="003276BF"/>
    <w:rsid w:val="00333E28"/>
    <w:rsid w:val="00334788"/>
    <w:rsid w:val="00337FAE"/>
    <w:rsid w:val="00340990"/>
    <w:rsid w:val="00343D13"/>
    <w:rsid w:val="0034608D"/>
    <w:rsid w:val="0035005F"/>
    <w:rsid w:val="003509CE"/>
    <w:rsid w:val="0035131B"/>
    <w:rsid w:val="00354330"/>
    <w:rsid w:val="003558A6"/>
    <w:rsid w:val="003576F7"/>
    <w:rsid w:val="0036633B"/>
    <w:rsid w:val="00367EAC"/>
    <w:rsid w:val="003704E8"/>
    <w:rsid w:val="00371137"/>
    <w:rsid w:val="003731FC"/>
    <w:rsid w:val="003A6643"/>
    <w:rsid w:val="003B0D93"/>
    <w:rsid w:val="003B79A0"/>
    <w:rsid w:val="003C0A3E"/>
    <w:rsid w:val="003C0DD6"/>
    <w:rsid w:val="003C1C99"/>
    <w:rsid w:val="003C21D2"/>
    <w:rsid w:val="003D0AC9"/>
    <w:rsid w:val="003E0953"/>
    <w:rsid w:val="003E4E9B"/>
    <w:rsid w:val="003F1A1A"/>
    <w:rsid w:val="00404878"/>
    <w:rsid w:val="00414A51"/>
    <w:rsid w:val="00417B26"/>
    <w:rsid w:val="0042022F"/>
    <w:rsid w:val="0044056E"/>
    <w:rsid w:val="0044634A"/>
    <w:rsid w:val="00452B4B"/>
    <w:rsid w:val="00456000"/>
    <w:rsid w:val="0045759E"/>
    <w:rsid w:val="00463D51"/>
    <w:rsid w:val="00463F29"/>
    <w:rsid w:val="00464269"/>
    <w:rsid w:val="00465B37"/>
    <w:rsid w:val="00467660"/>
    <w:rsid w:val="00472839"/>
    <w:rsid w:val="004728A5"/>
    <w:rsid w:val="004768AF"/>
    <w:rsid w:val="00495A12"/>
    <w:rsid w:val="00496BA9"/>
    <w:rsid w:val="00497F33"/>
    <w:rsid w:val="004A1142"/>
    <w:rsid w:val="004A27D7"/>
    <w:rsid w:val="004B42AD"/>
    <w:rsid w:val="004C1027"/>
    <w:rsid w:val="004C3BCF"/>
    <w:rsid w:val="004C3FDB"/>
    <w:rsid w:val="004D0EC3"/>
    <w:rsid w:val="004D127F"/>
    <w:rsid w:val="004E0CD0"/>
    <w:rsid w:val="004E26E5"/>
    <w:rsid w:val="004E573B"/>
    <w:rsid w:val="00500B87"/>
    <w:rsid w:val="0050408F"/>
    <w:rsid w:val="00504511"/>
    <w:rsid w:val="00505946"/>
    <w:rsid w:val="00512576"/>
    <w:rsid w:val="00515A8F"/>
    <w:rsid w:val="00522BB7"/>
    <w:rsid w:val="005259E9"/>
    <w:rsid w:val="00526CA6"/>
    <w:rsid w:val="005279BC"/>
    <w:rsid w:val="00550900"/>
    <w:rsid w:val="00550A01"/>
    <w:rsid w:val="0055191D"/>
    <w:rsid w:val="00553E07"/>
    <w:rsid w:val="0055476E"/>
    <w:rsid w:val="00561E90"/>
    <w:rsid w:val="00563110"/>
    <w:rsid w:val="00565BFC"/>
    <w:rsid w:val="00586157"/>
    <w:rsid w:val="005869A8"/>
    <w:rsid w:val="00587D75"/>
    <w:rsid w:val="00591276"/>
    <w:rsid w:val="00592F25"/>
    <w:rsid w:val="0059792D"/>
    <w:rsid w:val="005A0413"/>
    <w:rsid w:val="005A3CFE"/>
    <w:rsid w:val="005A483C"/>
    <w:rsid w:val="005B101B"/>
    <w:rsid w:val="005B163B"/>
    <w:rsid w:val="005B1D27"/>
    <w:rsid w:val="005B2842"/>
    <w:rsid w:val="005B39CA"/>
    <w:rsid w:val="005B420C"/>
    <w:rsid w:val="005C4261"/>
    <w:rsid w:val="005C4E37"/>
    <w:rsid w:val="005D02F2"/>
    <w:rsid w:val="005D2889"/>
    <w:rsid w:val="005E2F96"/>
    <w:rsid w:val="005F1F9D"/>
    <w:rsid w:val="005F2194"/>
    <w:rsid w:val="005F4542"/>
    <w:rsid w:val="00616044"/>
    <w:rsid w:val="0061738B"/>
    <w:rsid w:val="00621C90"/>
    <w:rsid w:val="00625233"/>
    <w:rsid w:val="00630C99"/>
    <w:rsid w:val="00632DEA"/>
    <w:rsid w:val="0064452F"/>
    <w:rsid w:val="00651C5A"/>
    <w:rsid w:val="00652EC5"/>
    <w:rsid w:val="00660560"/>
    <w:rsid w:val="00661348"/>
    <w:rsid w:val="00661A11"/>
    <w:rsid w:val="006626BE"/>
    <w:rsid w:val="006743BF"/>
    <w:rsid w:val="006806D1"/>
    <w:rsid w:val="00684311"/>
    <w:rsid w:val="00690CDD"/>
    <w:rsid w:val="006924A6"/>
    <w:rsid w:val="00693FD9"/>
    <w:rsid w:val="006A0396"/>
    <w:rsid w:val="006A1116"/>
    <w:rsid w:val="006A3183"/>
    <w:rsid w:val="006B2092"/>
    <w:rsid w:val="006C2765"/>
    <w:rsid w:val="006C758A"/>
    <w:rsid w:val="006C7776"/>
    <w:rsid w:val="006D3484"/>
    <w:rsid w:val="006E0E08"/>
    <w:rsid w:val="006E232D"/>
    <w:rsid w:val="006E276B"/>
    <w:rsid w:val="0070132F"/>
    <w:rsid w:val="007074E0"/>
    <w:rsid w:val="007132F5"/>
    <w:rsid w:val="007165EE"/>
    <w:rsid w:val="007172E6"/>
    <w:rsid w:val="0072623F"/>
    <w:rsid w:val="00734EE6"/>
    <w:rsid w:val="0074001A"/>
    <w:rsid w:val="00742247"/>
    <w:rsid w:val="00744EC7"/>
    <w:rsid w:val="0074523C"/>
    <w:rsid w:val="007452C2"/>
    <w:rsid w:val="00753AEC"/>
    <w:rsid w:val="00755AE3"/>
    <w:rsid w:val="00756FA6"/>
    <w:rsid w:val="0076762A"/>
    <w:rsid w:val="007677FD"/>
    <w:rsid w:val="007705D4"/>
    <w:rsid w:val="00784925"/>
    <w:rsid w:val="007906EC"/>
    <w:rsid w:val="00792D1C"/>
    <w:rsid w:val="007C53CE"/>
    <w:rsid w:val="007C5D91"/>
    <w:rsid w:val="007D2A90"/>
    <w:rsid w:val="007D2B91"/>
    <w:rsid w:val="007D660F"/>
    <w:rsid w:val="007E301E"/>
    <w:rsid w:val="007E3C03"/>
    <w:rsid w:val="007E54E3"/>
    <w:rsid w:val="007F3765"/>
    <w:rsid w:val="007F416C"/>
    <w:rsid w:val="007F6768"/>
    <w:rsid w:val="00807F05"/>
    <w:rsid w:val="008130FE"/>
    <w:rsid w:val="0081387D"/>
    <w:rsid w:val="00816545"/>
    <w:rsid w:val="00821133"/>
    <w:rsid w:val="00827E9F"/>
    <w:rsid w:val="00837DFF"/>
    <w:rsid w:val="008558F6"/>
    <w:rsid w:val="00865CE0"/>
    <w:rsid w:val="00872745"/>
    <w:rsid w:val="00875166"/>
    <w:rsid w:val="00887F17"/>
    <w:rsid w:val="008A5137"/>
    <w:rsid w:val="008A5C6C"/>
    <w:rsid w:val="008A6762"/>
    <w:rsid w:val="008A7B14"/>
    <w:rsid w:val="008B109E"/>
    <w:rsid w:val="008B1C3C"/>
    <w:rsid w:val="008B2F39"/>
    <w:rsid w:val="008D08C9"/>
    <w:rsid w:val="008D0DC5"/>
    <w:rsid w:val="008D4B2F"/>
    <w:rsid w:val="008E3206"/>
    <w:rsid w:val="008E38E3"/>
    <w:rsid w:val="008F482D"/>
    <w:rsid w:val="00912E1F"/>
    <w:rsid w:val="0091367C"/>
    <w:rsid w:val="00925B02"/>
    <w:rsid w:val="00931E97"/>
    <w:rsid w:val="00932314"/>
    <w:rsid w:val="009402A6"/>
    <w:rsid w:val="009470C6"/>
    <w:rsid w:val="009522BA"/>
    <w:rsid w:val="00964517"/>
    <w:rsid w:val="00966353"/>
    <w:rsid w:val="00966FFA"/>
    <w:rsid w:val="00974C7E"/>
    <w:rsid w:val="00976F9F"/>
    <w:rsid w:val="0099206E"/>
    <w:rsid w:val="009979A1"/>
    <w:rsid w:val="009A0FB5"/>
    <w:rsid w:val="009A12D2"/>
    <w:rsid w:val="009A3D3E"/>
    <w:rsid w:val="009A4EE0"/>
    <w:rsid w:val="009A5003"/>
    <w:rsid w:val="009B2113"/>
    <w:rsid w:val="009B727D"/>
    <w:rsid w:val="009C0D35"/>
    <w:rsid w:val="009C2180"/>
    <w:rsid w:val="009C5E37"/>
    <w:rsid w:val="009C7DD0"/>
    <w:rsid w:val="009D09A8"/>
    <w:rsid w:val="009D2CA6"/>
    <w:rsid w:val="009D5033"/>
    <w:rsid w:val="009D726D"/>
    <w:rsid w:val="009E34DB"/>
    <w:rsid w:val="009E4CE1"/>
    <w:rsid w:val="009E7358"/>
    <w:rsid w:val="009E776A"/>
    <w:rsid w:val="009F2527"/>
    <w:rsid w:val="00A00BBF"/>
    <w:rsid w:val="00A04396"/>
    <w:rsid w:val="00A066AA"/>
    <w:rsid w:val="00A11272"/>
    <w:rsid w:val="00A13BFD"/>
    <w:rsid w:val="00A168CA"/>
    <w:rsid w:val="00A16FF8"/>
    <w:rsid w:val="00A17399"/>
    <w:rsid w:val="00A21779"/>
    <w:rsid w:val="00A21CFB"/>
    <w:rsid w:val="00A22FE6"/>
    <w:rsid w:val="00A251DB"/>
    <w:rsid w:val="00A34BD9"/>
    <w:rsid w:val="00A34FA8"/>
    <w:rsid w:val="00A456D3"/>
    <w:rsid w:val="00A46C6F"/>
    <w:rsid w:val="00A50BC5"/>
    <w:rsid w:val="00A52AD2"/>
    <w:rsid w:val="00A53629"/>
    <w:rsid w:val="00A64359"/>
    <w:rsid w:val="00A671A0"/>
    <w:rsid w:val="00A710F7"/>
    <w:rsid w:val="00A74D7A"/>
    <w:rsid w:val="00A75FD0"/>
    <w:rsid w:val="00A92491"/>
    <w:rsid w:val="00A92B71"/>
    <w:rsid w:val="00A92E96"/>
    <w:rsid w:val="00A93864"/>
    <w:rsid w:val="00AA17D4"/>
    <w:rsid w:val="00AA2A72"/>
    <w:rsid w:val="00AA444F"/>
    <w:rsid w:val="00AA7164"/>
    <w:rsid w:val="00AB3782"/>
    <w:rsid w:val="00AC5A0F"/>
    <w:rsid w:val="00AD74D3"/>
    <w:rsid w:val="00AE1DC0"/>
    <w:rsid w:val="00AF3CD1"/>
    <w:rsid w:val="00AF4FCB"/>
    <w:rsid w:val="00B00A07"/>
    <w:rsid w:val="00B1707C"/>
    <w:rsid w:val="00B22003"/>
    <w:rsid w:val="00B236B8"/>
    <w:rsid w:val="00B25BC3"/>
    <w:rsid w:val="00B30E75"/>
    <w:rsid w:val="00B311CD"/>
    <w:rsid w:val="00B52801"/>
    <w:rsid w:val="00B53162"/>
    <w:rsid w:val="00B53211"/>
    <w:rsid w:val="00B57BFE"/>
    <w:rsid w:val="00B63AA9"/>
    <w:rsid w:val="00B737FB"/>
    <w:rsid w:val="00B8062E"/>
    <w:rsid w:val="00B84BA6"/>
    <w:rsid w:val="00B852A0"/>
    <w:rsid w:val="00B933F6"/>
    <w:rsid w:val="00B947A7"/>
    <w:rsid w:val="00BA3021"/>
    <w:rsid w:val="00BA3789"/>
    <w:rsid w:val="00BA406F"/>
    <w:rsid w:val="00BB182A"/>
    <w:rsid w:val="00BB791E"/>
    <w:rsid w:val="00BD04AE"/>
    <w:rsid w:val="00BD0A3D"/>
    <w:rsid w:val="00BD48C9"/>
    <w:rsid w:val="00BD77BB"/>
    <w:rsid w:val="00BD7B16"/>
    <w:rsid w:val="00BE3295"/>
    <w:rsid w:val="00BE5E15"/>
    <w:rsid w:val="00BF2455"/>
    <w:rsid w:val="00BF48E0"/>
    <w:rsid w:val="00C008C0"/>
    <w:rsid w:val="00C01641"/>
    <w:rsid w:val="00C03D47"/>
    <w:rsid w:val="00C1017E"/>
    <w:rsid w:val="00C14790"/>
    <w:rsid w:val="00C1482B"/>
    <w:rsid w:val="00C22EE8"/>
    <w:rsid w:val="00C31718"/>
    <w:rsid w:val="00C31AF4"/>
    <w:rsid w:val="00C32AD7"/>
    <w:rsid w:val="00C34B21"/>
    <w:rsid w:val="00C350AC"/>
    <w:rsid w:val="00C42A78"/>
    <w:rsid w:val="00C441DF"/>
    <w:rsid w:val="00C47248"/>
    <w:rsid w:val="00C570B0"/>
    <w:rsid w:val="00C57512"/>
    <w:rsid w:val="00C60077"/>
    <w:rsid w:val="00C62C6F"/>
    <w:rsid w:val="00C6557B"/>
    <w:rsid w:val="00C66B49"/>
    <w:rsid w:val="00C810BA"/>
    <w:rsid w:val="00C844F9"/>
    <w:rsid w:val="00C908B5"/>
    <w:rsid w:val="00C916F5"/>
    <w:rsid w:val="00CA4DE3"/>
    <w:rsid w:val="00CA620C"/>
    <w:rsid w:val="00CB3676"/>
    <w:rsid w:val="00CB448D"/>
    <w:rsid w:val="00CC10E5"/>
    <w:rsid w:val="00CD1DEC"/>
    <w:rsid w:val="00CD3B37"/>
    <w:rsid w:val="00CD5607"/>
    <w:rsid w:val="00CE1629"/>
    <w:rsid w:val="00CE5D2D"/>
    <w:rsid w:val="00CE70D1"/>
    <w:rsid w:val="00CE711F"/>
    <w:rsid w:val="00CF454A"/>
    <w:rsid w:val="00CF4AC1"/>
    <w:rsid w:val="00CF700B"/>
    <w:rsid w:val="00D01F6B"/>
    <w:rsid w:val="00D10E75"/>
    <w:rsid w:val="00D1169C"/>
    <w:rsid w:val="00D12D99"/>
    <w:rsid w:val="00D17690"/>
    <w:rsid w:val="00D21E34"/>
    <w:rsid w:val="00D246C6"/>
    <w:rsid w:val="00D2597F"/>
    <w:rsid w:val="00D277D8"/>
    <w:rsid w:val="00D27B92"/>
    <w:rsid w:val="00D30571"/>
    <w:rsid w:val="00D34A87"/>
    <w:rsid w:val="00D35EB7"/>
    <w:rsid w:val="00D360B9"/>
    <w:rsid w:val="00D41A76"/>
    <w:rsid w:val="00D50D2A"/>
    <w:rsid w:val="00D60F3C"/>
    <w:rsid w:val="00D6372B"/>
    <w:rsid w:val="00D65543"/>
    <w:rsid w:val="00D70F22"/>
    <w:rsid w:val="00D7624C"/>
    <w:rsid w:val="00D776AD"/>
    <w:rsid w:val="00D857AF"/>
    <w:rsid w:val="00D85B47"/>
    <w:rsid w:val="00D86F73"/>
    <w:rsid w:val="00D92C90"/>
    <w:rsid w:val="00D97930"/>
    <w:rsid w:val="00DA2A51"/>
    <w:rsid w:val="00DA3672"/>
    <w:rsid w:val="00DA5C09"/>
    <w:rsid w:val="00DC6162"/>
    <w:rsid w:val="00DC6276"/>
    <w:rsid w:val="00DD09B5"/>
    <w:rsid w:val="00DD4FFA"/>
    <w:rsid w:val="00DE1A60"/>
    <w:rsid w:val="00DF2C78"/>
    <w:rsid w:val="00DF40FA"/>
    <w:rsid w:val="00DF65D3"/>
    <w:rsid w:val="00DF6E70"/>
    <w:rsid w:val="00E00502"/>
    <w:rsid w:val="00E026B2"/>
    <w:rsid w:val="00E03E08"/>
    <w:rsid w:val="00E043E1"/>
    <w:rsid w:val="00E12E52"/>
    <w:rsid w:val="00E16B16"/>
    <w:rsid w:val="00E2018C"/>
    <w:rsid w:val="00E2465E"/>
    <w:rsid w:val="00E26761"/>
    <w:rsid w:val="00E3618A"/>
    <w:rsid w:val="00E42E22"/>
    <w:rsid w:val="00E42EB3"/>
    <w:rsid w:val="00E44EE4"/>
    <w:rsid w:val="00E51300"/>
    <w:rsid w:val="00E535E6"/>
    <w:rsid w:val="00E6241A"/>
    <w:rsid w:val="00E679BD"/>
    <w:rsid w:val="00E7197E"/>
    <w:rsid w:val="00E743A8"/>
    <w:rsid w:val="00E76862"/>
    <w:rsid w:val="00E80E75"/>
    <w:rsid w:val="00E83AD0"/>
    <w:rsid w:val="00E85428"/>
    <w:rsid w:val="00E864FC"/>
    <w:rsid w:val="00E97910"/>
    <w:rsid w:val="00EA6325"/>
    <w:rsid w:val="00EA77A0"/>
    <w:rsid w:val="00EB0446"/>
    <w:rsid w:val="00EB1FC3"/>
    <w:rsid w:val="00EB3AA0"/>
    <w:rsid w:val="00EC0525"/>
    <w:rsid w:val="00EC16A8"/>
    <w:rsid w:val="00ED2D26"/>
    <w:rsid w:val="00ED40E2"/>
    <w:rsid w:val="00ED6AB5"/>
    <w:rsid w:val="00EE5BDD"/>
    <w:rsid w:val="00EF428A"/>
    <w:rsid w:val="00EF4300"/>
    <w:rsid w:val="00EF6322"/>
    <w:rsid w:val="00F00E74"/>
    <w:rsid w:val="00F00E9D"/>
    <w:rsid w:val="00F153A1"/>
    <w:rsid w:val="00F15A97"/>
    <w:rsid w:val="00F200A5"/>
    <w:rsid w:val="00F306BE"/>
    <w:rsid w:val="00F33F88"/>
    <w:rsid w:val="00F34FEF"/>
    <w:rsid w:val="00F43DC3"/>
    <w:rsid w:val="00F45956"/>
    <w:rsid w:val="00F54D7A"/>
    <w:rsid w:val="00F6064C"/>
    <w:rsid w:val="00F66BAD"/>
    <w:rsid w:val="00F72B6B"/>
    <w:rsid w:val="00F77289"/>
    <w:rsid w:val="00F773E3"/>
    <w:rsid w:val="00F80220"/>
    <w:rsid w:val="00F8451A"/>
    <w:rsid w:val="00F86F50"/>
    <w:rsid w:val="00F91A44"/>
    <w:rsid w:val="00F93DA6"/>
    <w:rsid w:val="00F93F9C"/>
    <w:rsid w:val="00F96F67"/>
    <w:rsid w:val="00FA54AE"/>
    <w:rsid w:val="00FB2623"/>
    <w:rsid w:val="00FB613E"/>
    <w:rsid w:val="00FC03A4"/>
    <w:rsid w:val="00FC312C"/>
    <w:rsid w:val="00FC4AF0"/>
    <w:rsid w:val="00FC543E"/>
    <w:rsid w:val="00FC69CC"/>
    <w:rsid w:val="00FD5F5E"/>
    <w:rsid w:val="00FD66F1"/>
    <w:rsid w:val="00FD7901"/>
    <w:rsid w:val="00FE2AED"/>
    <w:rsid w:val="00FE7A2F"/>
    <w:rsid w:val="00FE7DB3"/>
    <w:rsid w:val="00FF0D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33289"/>
  <w15:chartTrackingRefBased/>
  <w15:docId w15:val="{04FE3767-4790-4EA5-AB6D-FD3F6441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D55"/>
    <w:pPr>
      <w:spacing w:after="0" w:line="240" w:lineRule="auto"/>
      <w:jc w:val="both"/>
    </w:pPr>
    <w:rPr>
      <w:rFonts w:ascii="Arial" w:eastAsia="Times New Roman" w:hAnsi="Arial" w:cs="Times New Roman"/>
      <w:spacing w:val="-5"/>
      <w:sz w:val="20"/>
      <w:szCs w:val="20"/>
      <w:lang w:val="es-ES"/>
    </w:rPr>
  </w:style>
  <w:style w:type="paragraph" w:styleId="Ttulo2">
    <w:name w:val="heading 2"/>
    <w:basedOn w:val="Normal"/>
    <w:next w:val="Normal"/>
    <w:link w:val="Ttulo2Car"/>
    <w:qFormat/>
    <w:rsid w:val="009C2180"/>
    <w:pPr>
      <w:keepNext/>
      <w:outlineLvl w:val="1"/>
    </w:pPr>
    <w:rPr>
      <w:rFonts w:ascii="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28A"/>
    <w:pPr>
      <w:tabs>
        <w:tab w:val="center" w:pos="4419"/>
        <w:tab w:val="right" w:pos="8838"/>
      </w:tabs>
    </w:pPr>
  </w:style>
  <w:style w:type="character" w:customStyle="1" w:styleId="EncabezadoCar">
    <w:name w:val="Encabezado Car"/>
    <w:basedOn w:val="Fuentedeprrafopredeter"/>
    <w:link w:val="Encabezado"/>
    <w:uiPriority w:val="99"/>
    <w:rsid w:val="00EF428A"/>
  </w:style>
  <w:style w:type="paragraph" w:styleId="Piedepgina">
    <w:name w:val="footer"/>
    <w:basedOn w:val="Normal"/>
    <w:link w:val="PiedepginaCar"/>
    <w:uiPriority w:val="99"/>
    <w:unhideWhenUsed/>
    <w:rsid w:val="00EF428A"/>
    <w:pPr>
      <w:tabs>
        <w:tab w:val="center" w:pos="4419"/>
        <w:tab w:val="right" w:pos="8838"/>
      </w:tabs>
    </w:pPr>
  </w:style>
  <w:style w:type="character" w:customStyle="1" w:styleId="PiedepginaCar">
    <w:name w:val="Pie de página Car"/>
    <w:basedOn w:val="Fuentedeprrafopredeter"/>
    <w:link w:val="Piedepgina"/>
    <w:uiPriority w:val="99"/>
    <w:rsid w:val="00EF428A"/>
  </w:style>
  <w:style w:type="paragraph" w:styleId="Textoindependiente">
    <w:name w:val="Body Text"/>
    <w:basedOn w:val="Normal"/>
    <w:link w:val="TextoindependienteCar"/>
    <w:uiPriority w:val="1"/>
    <w:qFormat/>
    <w:rsid w:val="003F1A1A"/>
    <w:pPr>
      <w:widowControl w:val="0"/>
      <w:autoSpaceDE w:val="0"/>
      <w:autoSpaceDN w:val="0"/>
    </w:pPr>
    <w:rPr>
      <w:rFonts w:ascii="Calibri" w:eastAsia="Calibri" w:hAnsi="Calibri" w:cs="Calibri"/>
      <w:sz w:val="40"/>
      <w:szCs w:val="40"/>
      <w:lang w:eastAsia="es-ES" w:bidi="es-ES"/>
    </w:rPr>
  </w:style>
  <w:style w:type="character" w:customStyle="1" w:styleId="TextoindependienteCar">
    <w:name w:val="Texto independiente Car"/>
    <w:basedOn w:val="Fuentedeprrafopredeter"/>
    <w:link w:val="Textoindependiente"/>
    <w:uiPriority w:val="1"/>
    <w:rsid w:val="003F1A1A"/>
    <w:rPr>
      <w:rFonts w:ascii="Calibri" w:eastAsia="Calibri" w:hAnsi="Calibri" w:cs="Calibri"/>
      <w:sz w:val="40"/>
      <w:szCs w:val="40"/>
      <w:lang w:val="es-ES" w:eastAsia="es-ES" w:bidi="es-ES"/>
    </w:rPr>
  </w:style>
  <w:style w:type="paragraph" w:customStyle="1" w:styleId="Textopredeterminado">
    <w:name w:val="Texto predeterminado"/>
    <w:basedOn w:val="Normal"/>
    <w:rsid w:val="006E232D"/>
    <w:pPr>
      <w:widowControl w:val="0"/>
      <w:suppressAutoHyphens/>
      <w:autoSpaceDN w:val="0"/>
      <w:textAlignment w:val="baseline"/>
    </w:pPr>
    <w:rPr>
      <w:rFonts w:ascii="Times New Roman" w:eastAsia="Arial Unicode MS" w:hAnsi="Times New Roman" w:cs="Tahoma"/>
      <w:kern w:val="3"/>
      <w:sz w:val="24"/>
      <w:szCs w:val="24"/>
      <w:lang w:eastAsia="es-CO"/>
    </w:rPr>
  </w:style>
  <w:style w:type="character" w:styleId="Refdecomentario">
    <w:name w:val="annotation reference"/>
    <w:basedOn w:val="Fuentedeprrafopredeter"/>
    <w:uiPriority w:val="99"/>
    <w:semiHidden/>
    <w:unhideWhenUsed/>
    <w:rsid w:val="007C53CE"/>
    <w:rPr>
      <w:sz w:val="16"/>
      <w:szCs w:val="16"/>
    </w:rPr>
  </w:style>
  <w:style w:type="paragraph" w:styleId="Textocomentario">
    <w:name w:val="annotation text"/>
    <w:basedOn w:val="Normal"/>
    <w:link w:val="TextocomentarioCar"/>
    <w:uiPriority w:val="99"/>
    <w:semiHidden/>
    <w:unhideWhenUsed/>
    <w:rsid w:val="007C53CE"/>
    <w:pPr>
      <w:spacing w:after="200"/>
    </w:pPr>
    <w:rPr>
      <w:rFonts w:ascii="Calibri" w:eastAsia="Calibri" w:hAnsi="Calibri"/>
    </w:rPr>
  </w:style>
  <w:style w:type="character" w:customStyle="1" w:styleId="TextocomentarioCar">
    <w:name w:val="Texto comentario Car"/>
    <w:basedOn w:val="Fuentedeprrafopredeter"/>
    <w:link w:val="Textocomentario"/>
    <w:uiPriority w:val="99"/>
    <w:semiHidden/>
    <w:rsid w:val="007C53C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7C53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53CE"/>
    <w:rPr>
      <w:rFonts w:ascii="Segoe UI" w:hAnsi="Segoe UI" w:cs="Segoe UI"/>
      <w:sz w:val="18"/>
      <w:szCs w:val="18"/>
    </w:rPr>
  </w:style>
  <w:style w:type="paragraph" w:customStyle="1" w:styleId="Default">
    <w:name w:val="Default"/>
    <w:rsid w:val="001B692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A92E96"/>
    <w:pPr>
      <w:ind w:left="720"/>
      <w:contextualSpacing/>
    </w:pPr>
    <w:rPr>
      <w:rFonts w:ascii="Times New Roman" w:hAnsi="Times New Roman"/>
      <w:lang w:eastAsia="es-ES"/>
    </w:rPr>
  </w:style>
  <w:style w:type="paragraph" w:styleId="Textoindependiente3">
    <w:name w:val="Body Text 3"/>
    <w:basedOn w:val="Normal"/>
    <w:link w:val="Textoindependiente3Car"/>
    <w:uiPriority w:val="99"/>
    <w:semiHidden/>
    <w:unhideWhenUsed/>
    <w:rsid w:val="002F5E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5EB0"/>
    <w:rPr>
      <w:sz w:val="16"/>
      <w:szCs w:val="16"/>
    </w:rPr>
  </w:style>
  <w:style w:type="paragraph" w:styleId="Asuntodelcomentario">
    <w:name w:val="annotation subject"/>
    <w:basedOn w:val="Textocomentario"/>
    <w:next w:val="Textocomentario"/>
    <w:link w:val="AsuntodelcomentarioCar"/>
    <w:uiPriority w:val="99"/>
    <w:semiHidden/>
    <w:unhideWhenUsed/>
    <w:rsid w:val="002F5EB0"/>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F5EB0"/>
    <w:rPr>
      <w:rFonts w:ascii="Calibri" w:eastAsia="Calibri" w:hAnsi="Calibri" w:cs="Times New Roman"/>
      <w:b/>
      <w:bCs/>
      <w:sz w:val="20"/>
      <w:szCs w:val="20"/>
    </w:rPr>
  </w:style>
  <w:style w:type="table" w:styleId="Tablaconcuadrcula">
    <w:name w:val="Table Grid"/>
    <w:basedOn w:val="Tablanormal"/>
    <w:uiPriority w:val="39"/>
    <w:rsid w:val="00A6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773E3"/>
  </w:style>
  <w:style w:type="character" w:customStyle="1" w:styleId="TextonotapieCar">
    <w:name w:val="Texto nota pie Car"/>
    <w:basedOn w:val="Fuentedeprrafopredeter"/>
    <w:link w:val="Textonotapie"/>
    <w:uiPriority w:val="99"/>
    <w:semiHidden/>
    <w:rsid w:val="00F773E3"/>
    <w:rPr>
      <w:sz w:val="20"/>
      <w:szCs w:val="20"/>
    </w:rPr>
  </w:style>
  <w:style w:type="character" w:styleId="Refdenotaalpie">
    <w:name w:val="footnote reference"/>
    <w:basedOn w:val="Fuentedeprrafopredeter"/>
    <w:uiPriority w:val="99"/>
    <w:semiHidden/>
    <w:unhideWhenUsed/>
    <w:rsid w:val="00F773E3"/>
    <w:rPr>
      <w:vertAlign w:val="superscript"/>
    </w:rPr>
  </w:style>
  <w:style w:type="character" w:customStyle="1" w:styleId="Ttulo2Car">
    <w:name w:val="Título 2 Car"/>
    <w:basedOn w:val="Fuentedeprrafopredeter"/>
    <w:link w:val="Ttulo2"/>
    <w:rsid w:val="009C2180"/>
    <w:rPr>
      <w:rFonts w:ascii="Times New Roman" w:eastAsia="Times New Roman" w:hAnsi="Times New Roman" w:cs="Times New Roman"/>
      <w:i/>
      <w:iCs/>
      <w:sz w:val="24"/>
      <w:szCs w:val="24"/>
      <w:lang w:val="es-ES" w:eastAsia="es-ES"/>
    </w:rPr>
  </w:style>
  <w:style w:type="character" w:styleId="Hipervnculo">
    <w:name w:val="Hyperlink"/>
    <w:basedOn w:val="Fuentedeprrafopredeter"/>
    <w:uiPriority w:val="99"/>
    <w:unhideWhenUsed/>
    <w:rsid w:val="00C6557B"/>
    <w:rPr>
      <w:color w:val="0563C1" w:themeColor="hyperlink"/>
      <w:u w:val="single"/>
    </w:rPr>
  </w:style>
  <w:style w:type="character" w:styleId="Hipervnculovisitado">
    <w:name w:val="FollowedHyperlink"/>
    <w:basedOn w:val="Fuentedeprrafopredeter"/>
    <w:uiPriority w:val="99"/>
    <w:semiHidden/>
    <w:unhideWhenUsed/>
    <w:rsid w:val="0055476E"/>
    <w:rPr>
      <w:color w:val="954F72" w:themeColor="followedHyperlink"/>
      <w:u w:val="single"/>
    </w:rPr>
  </w:style>
  <w:style w:type="paragraph" w:styleId="Revisin">
    <w:name w:val="Revision"/>
    <w:hidden/>
    <w:uiPriority w:val="99"/>
    <w:semiHidden/>
    <w:rsid w:val="0055476E"/>
    <w:pPr>
      <w:spacing w:after="0" w:line="240" w:lineRule="auto"/>
    </w:pPr>
    <w:rPr>
      <w:rFonts w:ascii="Arial" w:eastAsia="Times New Roman" w:hAnsi="Arial" w:cs="Times New Roman"/>
      <w:spacing w:val="-5"/>
      <w:sz w:val="20"/>
      <w:szCs w:val="20"/>
      <w:lang w:val="es-ES"/>
    </w:rPr>
  </w:style>
  <w:style w:type="character" w:customStyle="1" w:styleId="topfootercolumn-text">
    <w:name w:val="topfooter__column-text"/>
    <w:basedOn w:val="Fuentedeprrafopredeter"/>
    <w:rsid w:val="00931E97"/>
  </w:style>
  <w:style w:type="character" w:styleId="Mencinsinresolver">
    <w:name w:val="Unresolved Mention"/>
    <w:basedOn w:val="Fuentedeprrafopredeter"/>
    <w:uiPriority w:val="99"/>
    <w:semiHidden/>
    <w:unhideWhenUsed/>
    <w:rsid w:val="00167D9A"/>
    <w:rPr>
      <w:color w:val="605E5C"/>
      <w:shd w:val="clear" w:color="auto" w:fill="E1DFDD"/>
    </w:rPr>
  </w:style>
  <w:style w:type="paragraph" w:styleId="NormalWeb">
    <w:name w:val="Normal (Web)"/>
    <w:basedOn w:val="Normal"/>
    <w:uiPriority w:val="99"/>
    <w:unhideWhenUsed/>
    <w:rsid w:val="003D0AC9"/>
    <w:pPr>
      <w:spacing w:before="100" w:beforeAutospacing="1" w:after="100" w:afterAutospacing="1"/>
      <w:jc w:val="left"/>
    </w:pPr>
    <w:rPr>
      <w:rFonts w:ascii="Times New Roman" w:hAnsi="Times New Roman"/>
      <w:spacing w:val="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4446">
      <w:bodyDiv w:val="1"/>
      <w:marLeft w:val="0"/>
      <w:marRight w:val="0"/>
      <w:marTop w:val="0"/>
      <w:marBottom w:val="0"/>
      <w:divBdr>
        <w:top w:val="none" w:sz="0" w:space="0" w:color="auto"/>
        <w:left w:val="none" w:sz="0" w:space="0" w:color="auto"/>
        <w:bottom w:val="none" w:sz="0" w:space="0" w:color="auto"/>
        <w:right w:val="none" w:sz="0" w:space="0" w:color="auto"/>
      </w:divBdr>
    </w:div>
    <w:div w:id="332270392">
      <w:bodyDiv w:val="1"/>
      <w:marLeft w:val="0"/>
      <w:marRight w:val="0"/>
      <w:marTop w:val="0"/>
      <w:marBottom w:val="0"/>
      <w:divBdr>
        <w:top w:val="none" w:sz="0" w:space="0" w:color="auto"/>
        <w:left w:val="none" w:sz="0" w:space="0" w:color="auto"/>
        <w:bottom w:val="none" w:sz="0" w:space="0" w:color="auto"/>
        <w:right w:val="none" w:sz="0" w:space="0" w:color="auto"/>
      </w:divBdr>
    </w:div>
    <w:div w:id="429159315">
      <w:bodyDiv w:val="1"/>
      <w:marLeft w:val="0"/>
      <w:marRight w:val="0"/>
      <w:marTop w:val="0"/>
      <w:marBottom w:val="0"/>
      <w:divBdr>
        <w:top w:val="none" w:sz="0" w:space="0" w:color="auto"/>
        <w:left w:val="none" w:sz="0" w:space="0" w:color="auto"/>
        <w:bottom w:val="none" w:sz="0" w:space="0" w:color="auto"/>
        <w:right w:val="none" w:sz="0" w:space="0" w:color="auto"/>
      </w:divBdr>
    </w:div>
    <w:div w:id="539904295">
      <w:bodyDiv w:val="1"/>
      <w:marLeft w:val="0"/>
      <w:marRight w:val="0"/>
      <w:marTop w:val="0"/>
      <w:marBottom w:val="0"/>
      <w:divBdr>
        <w:top w:val="none" w:sz="0" w:space="0" w:color="auto"/>
        <w:left w:val="none" w:sz="0" w:space="0" w:color="auto"/>
        <w:bottom w:val="none" w:sz="0" w:space="0" w:color="auto"/>
        <w:right w:val="none" w:sz="0" w:space="0" w:color="auto"/>
      </w:divBdr>
    </w:div>
    <w:div w:id="562835783">
      <w:bodyDiv w:val="1"/>
      <w:marLeft w:val="0"/>
      <w:marRight w:val="0"/>
      <w:marTop w:val="0"/>
      <w:marBottom w:val="0"/>
      <w:divBdr>
        <w:top w:val="none" w:sz="0" w:space="0" w:color="auto"/>
        <w:left w:val="none" w:sz="0" w:space="0" w:color="auto"/>
        <w:bottom w:val="none" w:sz="0" w:space="0" w:color="auto"/>
        <w:right w:val="none" w:sz="0" w:space="0" w:color="auto"/>
      </w:divBdr>
    </w:div>
    <w:div w:id="620575763">
      <w:bodyDiv w:val="1"/>
      <w:marLeft w:val="0"/>
      <w:marRight w:val="0"/>
      <w:marTop w:val="0"/>
      <w:marBottom w:val="0"/>
      <w:divBdr>
        <w:top w:val="none" w:sz="0" w:space="0" w:color="auto"/>
        <w:left w:val="none" w:sz="0" w:space="0" w:color="auto"/>
        <w:bottom w:val="none" w:sz="0" w:space="0" w:color="auto"/>
        <w:right w:val="none" w:sz="0" w:space="0" w:color="auto"/>
      </w:divBdr>
    </w:div>
    <w:div w:id="625500518">
      <w:bodyDiv w:val="1"/>
      <w:marLeft w:val="0"/>
      <w:marRight w:val="0"/>
      <w:marTop w:val="0"/>
      <w:marBottom w:val="0"/>
      <w:divBdr>
        <w:top w:val="none" w:sz="0" w:space="0" w:color="auto"/>
        <w:left w:val="none" w:sz="0" w:space="0" w:color="auto"/>
        <w:bottom w:val="none" w:sz="0" w:space="0" w:color="auto"/>
        <w:right w:val="none" w:sz="0" w:space="0" w:color="auto"/>
      </w:divBdr>
    </w:div>
    <w:div w:id="652176625">
      <w:bodyDiv w:val="1"/>
      <w:marLeft w:val="0"/>
      <w:marRight w:val="0"/>
      <w:marTop w:val="0"/>
      <w:marBottom w:val="0"/>
      <w:divBdr>
        <w:top w:val="none" w:sz="0" w:space="0" w:color="auto"/>
        <w:left w:val="none" w:sz="0" w:space="0" w:color="auto"/>
        <w:bottom w:val="none" w:sz="0" w:space="0" w:color="auto"/>
        <w:right w:val="none" w:sz="0" w:space="0" w:color="auto"/>
      </w:divBdr>
    </w:div>
    <w:div w:id="653727685">
      <w:bodyDiv w:val="1"/>
      <w:marLeft w:val="0"/>
      <w:marRight w:val="0"/>
      <w:marTop w:val="0"/>
      <w:marBottom w:val="0"/>
      <w:divBdr>
        <w:top w:val="none" w:sz="0" w:space="0" w:color="auto"/>
        <w:left w:val="none" w:sz="0" w:space="0" w:color="auto"/>
        <w:bottom w:val="none" w:sz="0" w:space="0" w:color="auto"/>
        <w:right w:val="none" w:sz="0" w:space="0" w:color="auto"/>
      </w:divBdr>
    </w:div>
    <w:div w:id="667290926">
      <w:bodyDiv w:val="1"/>
      <w:marLeft w:val="0"/>
      <w:marRight w:val="0"/>
      <w:marTop w:val="0"/>
      <w:marBottom w:val="0"/>
      <w:divBdr>
        <w:top w:val="none" w:sz="0" w:space="0" w:color="auto"/>
        <w:left w:val="none" w:sz="0" w:space="0" w:color="auto"/>
        <w:bottom w:val="none" w:sz="0" w:space="0" w:color="auto"/>
        <w:right w:val="none" w:sz="0" w:space="0" w:color="auto"/>
      </w:divBdr>
    </w:div>
    <w:div w:id="922299151">
      <w:bodyDiv w:val="1"/>
      <w:marLeft w:val="0"/>
      <w:marRight w:val="0"/>
      <w:marTop w:val="0"/>
      <w:marBottom w:val="0"/>
      <w:divBdr>
        <w:top w:val="none" w:sz="0" w:space="0" w:color="auto"/>
        <w:left w:val="none" w:sz="0" w:space="0" w:color="auto"/>
        <w:bottom w:val="none" w:sz="0" w:space="0" w:color="auto"/>
        <w:right w:val="none" w:sz="0" w:space="0" w:color="auto"/>
      </w:divBdr>
    </w:div>
    <w:div w:id="925384961">
      <w:bodyDiv w:val="1"/>
      <w:marLeft w:val="0"/>
      <w:marRight w:val="0"/>
      <w:marTop w:val="0"/>
      <w:marBottom w:val="0"/>
      <w:divBdr>
        <w:top w:val="none" w:sz="0" w:space="0" w:color="auto"/>
        <w:left w:val="none" w:sz="0" w:space="0" w:color="auto"/>
        <w:bottom w:val="none" w:sz="0" w:space="0" w:color="auto"/>
        <w:right w:val="none" w:sz="0" w:space="0" w:color="auto"/>
      </w:divBdr>
    </w:div>
    <w:div w:id="1027220298">
      <w:bodyDiv w:val="1"/>
      <w:marLeft w:val="0"/>
      <w:marRight w:val="0"/>
      <w:marTop w:val="0"/>
      <w:marBottom w:val="0"/>
      <w:divBdr>
        <w:top w:val="none" w:sz="0" w:space="0" w:color="auto"/>
        <w:left w:val="none" w:sz="0" w:space="0" w:color="auto"/>
        <w:bottom w:val="none" w:sz="0" w:space="0" w:color="auto"/>
        <w:right w:val="none" w:sz="0" w:space="0" w:color="auto"/>
      </w:divBdr>
    </w:div>
    <w:div w:id="1043600226">
      <w:bodyDiv w:val="1"/>
      <w:marLeft w:val="0"/>
      <w:marRight w:val="0"/>
      <w:marTop w:val="0"/>
      <w:marBottom w:val="0"/>
      <w:divBdr>
        <w:top w:val="none" w:sz="0" w:space="0" w:color="auto"/>
        <w:left w:val="none" w:sz="0" w:space="0" w:color="auto"/>
        <w:bottom w:val="none" w:sz="0" w:space="0" w:color="auto"/>
        <w:right w:val="none" w:sz="0" w:space="0" w:color="auto"/>
      </w:divBdr>
    </w:div>
    <w:div w:id="1064910988">
      <w:bodyDiv w:val="1"/>
      <w:marLeft w:val="0"/>
      <w:marRight w:val="0"/>
      <w:marTop w:val="0"/>
      <w:marBottom w:val="0"/>
      <w:divBdr>
        <w:top w:val="none" w:sz="0" w:space="0" w:color="auto"/>
        <w:left w:val="none" w:sz="0" w:space="0" w:color="auto"/>
        <w:bottom w:val="none" w:sz="0" w:space="0" w:color="auto"/>
        <w:right w:val="none" w:sz="0" w:space="0" w:color="auto"/>
      </w:divBdr>
    </w:div>
    <w:div w:id="1065877722">
      <w:bodyDiv w:val="1"/>
      <w:marLeft w:val="0"/>
      <w:marRight w:val="0"/>
      <w:marTop w:val="0"/>
      <w:marBottom w:val="0"/>
      <w:divBdr>
        <w:top w:val="none" w:sz="0" w:space="0" w:color="auto"/>
        <w:left w:val="none" w:sz="0" w:space="0" w:color="auto"/>
        <w:bottom w:val="none" w:sz="0" w:space="0" w:color="auto"/>
        <w:right w:val="none" w:sz="0" w:space="0" w:color="auto"/>
      </w:divBdr>
    </w:div>
    <w:div w:id="1073431967">
      <w:bodyDiv w:val="1"/>
      <w:marLeft w:val="0"/>
      <w:marRight w:val="0"/>
      <w:marTop w:val="0"/>
      <w:marBottom w:val="0"/>
      <w:divBdr>
        <w:top w:val="none" w:sz="0" w:space="0" w:color="auto"/>
        <w:left w:val="none" w:sz="0" w:space="0" w:color="auto"/>
        <w:bottom w:val="none" w:sz="0" w:space="0" w:color="auto"/>
        <w:right w:val="none" w:sz="0" w:space="0" w:color="auto"/>
      </w:divBdr>
    </w:div>
    <w:div w:id="1094085337">
      <w:bodyDiv w:val="1"/>
      <w:marLeft w:val="0"/>
      <w:marRight w:val="0"/>
      <w:marTop w:val="0"/>
      <w:marBottom w:val="0"/>
      <w:divBdr>
        <w:top w:val="none" w:sz="0" w:space="0" w:color="auto"/>
        <w:left w:val="none" w:sz="0" w:space="0" w:color="auto"/>
        <w:bottom w:val="none" w:sz="0" w:space="0" w:color="auto"/>
        <w:right w:val="none" w:sz="0" w:space="0" w:color="auto"/>
      </w:divBdr>
    </w:div>
    <w:div w:id="1131247763">
      <w:bodyDiv w:val="1"/>
      <w:marLeft w:val="0"/>
      <w:marRight w:val="0"/>
      <w:marTop w:val="0"/>
      <w:marBottom w:val="0"/>
      <w:divBdr>
        <w:top w:val="none" w:sz="0" w:space="0" w:color="auto"/>
        <w:left w:val="none" w:sz="0" w:space="0" w:color="auto"/>
        <w:bottom w:val="none" w:sz="0" w:space="0" w:color="auto"/>
        <w:right w:val="none" w:sz="0" w:space="0" w:color="auto"/>
      </w:divBdr>
    </w:div>
    <w:div w:id="1153713231">
      <w:bodyDiv w:val="1"/>
      <w:marLeft w:val="0"/>
      <w:marRight w:val="0"/>
      <w:marTop w:val="0"/>
      <w:marBottom w:val="0"/>
      <w:divBdr>
        <w:top w:val="none" w:sz="0" w:space="0" w:color="auto"/>
        <w:left w:val="none" w:sz="0" w:space="0" w:color="auto"/>
        <w:bottom w:val="none" w:sz="0" w:space="0" w:color="auto"/>
        <w:right w:val="none" w:sz="0" w:space="0" w:color="auto"/>
      </w:divBdr>
    </w:div>
    <w:div w:id="1262837218">
      <w:bodyDiv w:val="1"/>
      <w:marLeft w:val="0"/>
      <w:marRight w:val="0"/>
      <w:marTop w:val="0"/>
      <w:marBottom w:val="0"/>
      <w:divBdr>
        <w:top w:val="none" w:sz="0" w:space="0" w:color="auto"/>
        <w:left w:val="none" w:sz="0" w:space="0" w:color="auto"/>
        <w:bottom w:val="none" w:sz="0" w:space="0" w:color="auto"/>
        <w:right w:val="none" w:sz="0" w:space="0" w:color="auto"/>
      </w:divBdr>
    </w:div>
    <w:div w:id="1384674186">
      <w:bodyDiv w:val="1"/>
      <w:marLeft w:val="0"/>
      <w:marRight w:val="0"/>
      <w:marTop w:val="0"/>
      <w:marBottom w:val="0"/>
      <w:divBdr>
        <w:top w:val="none" w:sz="0" w:space="0" w:color="auto"/>
        <w:left w:val="none" w:sz="0" w:space="0" w:color="auto"/>
        <w:bottom w:val="none" w:sz="0" w:space="0" w:color="auto"/>
        <w:right w:val="none" w:sz="0" w:space="0" w:color="auto"/>
      </w:divBdr>
    </w:div>
    <w:div w:id="1406297331">
      <w:bodyDiv w:val="1"/>
      <w:marLeft w:val="0"/>
      <w:marRight w:val="0"/>
      <w:marTop w:val="0"/>
      <w:marBottom w:val="0"/>
      <w:divBdr>
        <w:top w:val="none" w:sz="0" w:space="0" w:color="auto"/>
        <w:left w:val="none" w:sz="0" w:space="0" w:color="auto"/>
        <w:bottom w:val="none" w:sz="0" w:space="0" w:color="auto"/>
        <w:right w:val="none" w:sz="0" w:space="0" w:color="auto"/>
      </w:divBdr>
    </w:div>
    <w:div w:id="1446388003">
      <w:bodyDiv w:val="1"/>
      <w:marLeft w:val="0"/>
      <w:marRight w:val="0"/>
      <w:marTop w:val="0"/>
      <w:marBottom w:val="0"/>
      <w:divBdr>
        <w:top w:val="none" w:sz="0" w:space="0" w:color="auto"/>
        <w:left w:val="none" w:sz="0" w:space="0" w:color="auto"/>
        <w:bottom w:val="none" w:sz="0" w:space="0" w:color="auto"/>
        <w:right w:val="none" w:sz="0" w:space="0" w:color="auto"/>
      </w:divBdr>
    </w:div>
    <w:div w:id="1527476623">
      <w:bodyDiv w:val="1"/>
      <w:marLeft w:val="0"/>
      <w:marRight w:val="0"/>
      <w:marTop w:val="0"/>
      <w:marBottom w:val="0"/>
      <w:divBdr>
        <w:top w:val="none" w:sz="0" w:space="0" w:color="auto"/>
        <w:left w:val="none" w:sz="0" w:space="0" w:color="auto"/>
        <w:bottom w:val="none" w:sz="0" w:space="0" w:color="auto"/>
        <w:right w:val="none" w:sz="0" w:space="0" w:color="auto"/>
      </w:divBdr>
    </w:div>
    <w:div w:id="1558468526">
      <w:bodyDiv w:val="1"/>
      <w:marLeft w:val="0"/>
      <w:marRight w:val="0"/>
      <w:marTop w:val="0"/>
      <w:marBottom w:val="0"/>
      <w:divBdr>
        <w:top w:val="none" w:sz="0" w:space="0" w:color="auto"/>
        <w:left w:val="none" w:sz="0" w:space="0" w:color="auto"/>
        <w:bottom w:val="none" w:sz="0" w:space="0" w:color="auto"/>
        <w:right w:val="none" w:sz="0" w:space="0" w:color="auto"/>
      </w:divBdr>
    </w:div>
    <w:div w:id="1696232139">
      <w:bodyDiv w:val="1"/>
      <w:marLeft w:val="0"/>
      <w:marRight w:val="0"/>
      <w:marTop w:val="0"/>
      <w:marBottom w:val="0"/>
      <w:divBdr>
        <w:top w:val="none" w:sz="0" w:space="0" w:color="auto"/>
        <w:left w:val="none" w:sz="0" w:space="0" w:color="auto"/>
        <w:bottom w:val="none" w:sz="0" w:space="0" w:color="auto"/>
        <w:right w:val="none" w:sz="0" w:space="0" w:color="auto"/>
      </w:divBdr>
    </w:div>
    <w:div w:id="1711300238">
      <w:bodyDiv w:val="1"/>
      <w:marLeft w:val="0"/>
      <w:marRight w:val="0"/>
      <w:marTop w:val="0"/>
      <w:marBottom w:val="0"/>
      <w:divBdr>
        <w:top w:val="none" w:sz="0" w:space="0" w:color="auto"/>
        <w:left w:val="none" w:sz="0" w:space="0" w:color="auto"/>
        <w:bottom w:val="none" w:sz="0" w:space="0" w:color="auto"/>
        <w:right w:val="none" w:sz="0" w:space="0" w:color="auto"/>
      </w:divBdr>
    </w:div>
    <w:div w:id="1749962065">
      <w:bodyDiv w:val="1"/>
      <w:marLeft w:val="0"/>
      <w:marRight w:val="0"/>
      <w:marTop w:val="0"/>
      <w:marBottom w:val="0"/>
      <w:divBdr>
        <w:top w:val="none" w:sz="0" w:space="0" w:color="auto"/>
        <w:left w:val="none" w:sz="0" w:space="0" w:color="auto"/>
        <w:bottom w:val="none" w:sz="0" w:space="0" w:color="auto"/>
        <w:right w:val="none" w:sz="0" w:space="0" w:color="auto"/>
      </w:divBdr>
    </w:div>
    <w:div w:id="1782260736">
      <w:bodyDiv w:val="1"/>
      <w:marLeft w:val="0"/>
      <w:marRight w:val="0"/>
      <w:marTop w:val="0"/>
      <w:marBottom w:val="0"/>
      <w:divBdr>
        <w:top w:val="none" w:sz="0" w:space="0" w:color="auto"/>
        <w:left w:val="none" w:sz="0" w:space="0" w:color="auto"/>
        <w:bottom w:val="none" w:sz="0" w:space="0" w:color="auto"/>
        <w:right w:val="none" w:sz="0" w:space="0" w:color="auto"/>
      </w:divBdr>
    </w:div>
    <w:div w:id="1782451927">
      <w:bodyDiv w:val="1"/>
      <w:marLeft w:val="0"/>
      <w:marRight w:val="0"/>
      <w:marTop w:val="0"/>
      <w:marBottom w:val="0"/>
      <w:divBdr>
        <w:top w:val="none" w:sz="0" w:space="0" w:color="auto"/>
        <w:left w:val="none" w:sz="0" w:space="0" w:color="auto"/>
        <w:bottom w:val="none" w:sz="0" w:space="0" w:color="auto"/>
        <w:right w:val="none" w:sz="0" w:space="0" w:color="auto"/>
      </w:divBdr>
    </w:div>
    <w:div w:id="1903518941">
      <w:bodyDiv w:val="1"/>
      <w:marLeft w:val="0"/>
      <w:marRight w:val="0"/>
      <w:marTop w:val="0"/>
      <w:marBottom w:val="0"/>
      <w:divBdr>
        <w:top w:val="none" w:sz="0" w:space="0" w:color="auto"/>
        <w:left w:val="none" w:sz="0" w:space="0" w:color="auto"/>
        <w:bottom w:val="none" w:sz="0" w:space="0" w:color="auto"/>
        <w:right w:val="none" w:sz="0" w:space="0" w:color="auto"/>
      </w:divBdr>
    </w:div>
    <w:div w:id="1913538346">
      <w:bodyDiv w:val="1"/>
      <w:marLeft w:val="0"/>
      <w:marRight w:val="0"/>
      <w:marTop w:val="0"/>
      <w:marBottom w:val="0"/>
      <w:divBdr>
        <w:top w:val="none" w:sz="0" w:space="0" w:color="auto"/>
        <w:left w:val="none" w:sz="0" w:space="0" w:color="auto"/>
        <w:bottom w:val="none" w:sz="0" w:space="0" w:color="auto"/>
        <w:right w:val="none" w:sz="0" w:space="0" w:color="auto"/>
      </w:divBdr>
    </w:div>
    <w:div w:id="20393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otiabankcolpatr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iabankcolpatria.com/personas/hipotecario/compra-de-inmuebles/vivienda-residentes-en-el-exteri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scotiabankcolpatria.com/sala-de-pren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881B8C8763D44B78393833419687B" ma:contentTypeVersion="11" ma:contentTypeDescription="Create a new document." ma:contentTypeScope="" ma:versionID="47ff33a7e1f5cacbde356983625a605e">
  <xsd:schema xmlns:xsd="http://www.w3.org/2001/XMLSchema" xmlns:xs="http://www.w3.org/2001/XMLSchema" xmlns:p="http://schemas.microsoft.com/office/2006/metadata/properties" xmlns:ns3="1e6a327a-846e-4ccf-be3c-38646f7dff8d" xmlns:ns4="b6cd371d-80b8-4b0a-9e8d-f5d5bd6c2665" targetNamespace="http://schemas.microsoft.com/office/2006/metadata/properties" ma:root="true" ma:fieldsID="705be2f36686d306dc07d0b62de75425" ns3:_="" ns4:_="">
    <xsd:import namespace="1e6a327a-846e-4ccf-be3c-38646f7dff8d"/>
    <xsd:import namespace="b6cd371d-80b8-4b0a-9e8d-f5d5bd6c26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a327a-846e-4ccf-be3c-38646f7df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d371d-80b8-4b0a-9e8d-f5d5bd6c26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1A85-9A0B-4988-BEBC-1466F1ADB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8C4A6-70E3-43F4-96B7-91C25C87B2B4}">
  <ds:schemaRefs>
    <ds:schemaRef ds:uri="http://schemas.microsoft.com/sharepoint/v3/contenttype/forms"/>
  </ds:schemaRefs>
</ds:datastoreItem>
</file>

<file path=customXml/itemProps3.xml><?xml version="1.0" encoding="utf-8"?>
<ds:datastoreItem xmlns:ds="http://schemas.openxmlformats.org/officeDocument/2006/customXml" ds:itemID="{DC81460D-1974-469B-AFDC-B31179DA4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a327a-846e-4ccf-be3c-38646f7dff8d"/>
    <ds:schemaRef ds:uri="b6cd371d-80b8-4b0a-9e8d-f5d5bd6c2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1633E2-1AB2-4E50-897E-DF2322C6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Rodolfo</dc:creator>
  <cp:keywords/>
  <dc:description/>
  <cp:lastModifiedBy>Hurtado Romero, Camilo</cp:lastModifiedBy>
  <cp:revision>2</cp:revision>
  <cp:lastPrinted>2020-03-16T19:35:00Z</cp:lastPrinted>
  <dcterms:created xsi:type="dcterms:W3CDTF">2021-10-07T13:22:00Z</dcterms:created>
  <dcterms:modified xsi:type="dcterms:W3CDTF">2021-10-07T13:22:00Z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0x010100176881B8C8763D44B78393833419687B</vt:lpwstr>
  </property>
</Properties>
</file>