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Septiembre, mes histórico para el Mercado Global Colombiano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con COP 35.900 millones negociados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 lo corrido del año se han negociado COP $60.746 millones en el MGC.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Actualmente en el MGC hay 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23 valores inscritos: 13 acciones, 7 ETF con subyacentes de renta variable y 3 ETF con subyacentes de renta fija.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Bogotá, 4 de octubre de 2021 ---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 2021 ha sido el año para la diversificación de portafolios, a través del Mercado Global Colombiano (MGC). Gracias a esto el mes de septiembre cerró con una cifra histórica de negociación con COP $35.900 millones. Así mismo, el último día del mes se logró un monto récord de COP $5.012 millones transados en este mercado durante una jornada.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Mientras durante todo el 2020 se negociaron COP $2.658 millones, en lo corrido del 2021 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ya se han negociado COP $60.746 millones. Es decir, que se ha multiplicado casi 23 veces la negociación en el MGC.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Para la reactivación de este mercado, la Bolsa de Valores de Colombia (bvc) ha trabajado junto a los </w:t>
      </w:r>
      <w:r w:rsidDel="00000000" w:rsidR="00000000" w:rsidRPr="00000000">
        <w:rPr>
          <w:rFonts w:ascii="Tahoma" w:cs="Tahoma" w:eastAsia="Tahoma" w:hAnsi="Tahoma"/>
          <w:i w:val="1"/>
          <w:color w:val="202124"/>
          <w:sz w:val="24"/>
          <w:szCs w:val="24"/>
          <w:rtl w:val="0"/>
        </w:rPr>
        <w:t xml:space="preserve">market makers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 para asegurar que los inversionistas puedan hacer sus operaciones de compra y venta de acciones y ETF’s, sin tener que enfrentarse a </w:t>
      </w:r>
      <w:r w:rsidDel="00000000" w:rsidR="00000000" w:rsidRPr="00000000">
        <w:rPr>
          <w:rFonts w:ascii="Tahoma" w:cs="Tahoma" w:eastAsia="Tahoma" w:hAnsi="Tahoma"/>
          <w:i w:val="1"/>
          <w:color w:val="202124"/>
          <w:sz w:val="24"/>
          <w:szCs w:val="24"/>
          <w:rtl w:val="0"/>
        </w:rPr>
        <w:t xml:space="preserve">spreads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 de precios altos o limitantes en términos de precios. De igual forma, los volúmenes negociados se explican por la facilidad que ahora existe para invertir en el MGC, gracias a las plataformas de </w:t>
      </w:r>
      <w:r w:rsidDel="00000000" w:rsidR="00000000" w:rsidRPr="00000000">
        <w:rPr>
          <w:rFonts w:ascii="Tahoma" w:cs="Tahoma" w:eastAsia="Tahoma" w:hAnsi="Tahoma"/>
          <w:i w:val="1"/>
          <w:color w:val="202124"/>
          <w:sz w:val="24"/>
          <w:szCs w:val="24"/>
          <w:rtl w:val="0"/>
        </w:rPr>
        <w:t xml:space="preserve">e-trading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 que le permiten a más personas acceder a estos instrumentos desde un celular.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Durante el año, el MGC ha estado dinamizado por diversos actores. En el segundo trimestre 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Larraín Vial inscribió las cinco (5) joyas chilenas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 del mercado accionario y en septiembre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Bancolombia e Itaú listaron 10 ETF’s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Exchanged Traded Fund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por sus siglas en inglés o fondo cotizado en bolsa) administrados por BlackRock y el mismo Itaú. Estos nuevos instrumentos llegaron a acompañar las 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8 acciones americanas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***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 que habían sido listadas por Bancolombia en años anteriores.</w:t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Actualmente en el MGC hay </w:t>
      </w: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23 valores inscritos: 13 acciones, 7 ETF’s con subyacentes de renta variable y 3 ETF’s con subyacentes de renta fija. A continuación, el Top 10 de las acciones más negociadas en septiembre: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500"/>
        <w:tblGridChange w:id="0">
          <w:tblGrid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02124"/>
                <w:sz w:val="20"/>
                <w:szCs w:val="20"/>
                <w:rtl w:val="0"/>
              </w:rPr>
              <w:t xml:space="preserve">Nemotécnico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02124"/>
                <w:sz w:val="20"/>
                <w:szCs w:val="20"/>
                <w:rtl w:val="0"/>
              </w:rPr>
              <w:t xml:space="preserve">Valor en Millones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JNJ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8.242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CENCOSUDCO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6.314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SQMBCO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4.525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3.516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ENELAMCO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2.652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EIMI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2.566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CHILECO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1.714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FALABELLCO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1.595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1.065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ISAC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02124"/>
                <w:sz w:val="20"/>
                <w:szCs w:val="20"/>
                <w:rtl w:val="0"/>
              </w:rPr>
              <w:t xml:space="preserve">861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202124"/>
          <w:sz w:val="24"/>
          <w:szCs w:val="24"/>
          <w:rtl w:val="0"/>
        </w:rPr>
        <w:t xml:space="preserve">bvc continúa trabajando para impulsar el MGC y de esta forma atraer a nuevos emisores, y brindar la posibilidad a los inversionistas colombianos de acceder a instrumentos reconocidos internacionalmente, bajo las reglas de negociación colombiana y negociando en pesos colombianos.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00000000002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56.8"/>
        <w:gridCol w:w="6481.200000000001"/>
        <w:tblGridChange w:id="0">
          <w:tblGrid>
            <w:gridCol w:w="2356.8"/>
            <w:gridCol w:w="6481.20000000000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*Acciones Chilenas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529"/>
                <w:sz w:val="20"/>
                <w:szCs w:val="20"/>
                <w:rtl w:val="0"/>
              </w:rPr>
              <w:t xml:space="preserve">NEMO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529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FALABELLCO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Falabella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CHILECO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Banco de Chile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ENELAMCO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Enel Américas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CENCOSUDCO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Cencosud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SQMBCO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Sociedad Químico y Minera (B)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8.000000000002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56.8"/>
        <w:gridCol w:w="6481.200000000001"/>
        <w:tblGridChange w:id="0">
          <w:tblGrid>
            <w:gridCol w:w="2356.8"/>
            <w:gridCol w:w="6481.20000000000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**Fondos Bursátiles - Exchange Traded Funds (ETF)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529"/>
                <w:sz w:val="20"/>
                <w:szCs w:val="20"/>
                <w:rtl w:val="0"/>
              </w:rPr>
              <w:t xml:space="preserve">NEMO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529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Fondos Bursátiles de Irlanda - Reino Unido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ETF Renta Variable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CSPX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Core S&amp;P 500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EIMI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Core MSCI EM IMI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MSCI ACWI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IUFS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S&amp;P 500 Financials Sector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S&amp;P 500 Information Technology Sector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SUAS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MSCI USA SRI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ETF Renta Fija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IB01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$ Treasury Bond 0-1yr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JPEA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J.P. Morgan $ EM Bond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SDHA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iShares $ Short Duration High Yield Corp Bond UCITS ETF USD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Fondo Bursátil de Chile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CFMITNIPCO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Tahoma" w:cs="Tahoma" w:eastAsia="Tahoma" w:hAnsi="Tahoma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Fondo mutuo ETF IT NOW S&amp;P IPSA</w:t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Tahoma" w:cs="Tahoma" w:eastAsia="Tahoma" w:hAnsi="Tahoma"/>
          <w:color w:val="2021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8.000000000002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56.8"/>
        <w:gridCol w:w="6481.200000000001"/>
        <w:tblGridChange w:id="0">
          <w:tblGrid>
            <w:gridCol w:w="2356.8"/>
            <w:gridCol w:w="6481.200000000001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545454"/>
                <w:sz w:val="20"/>
                <w:szCs w:val="20"/>
                <w:rtl w:val="0"/>
              </w:rPr>
              <w:t xml:space="preserve">***Acciones de EE.UU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529"/>
                <w:sz w:val="20"/>
                <w:szCs w:val="20"/>
                <w:rtl w:val="0"/>
              </w:rPr>
              <w:t xml:space="preserve">NEMO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212529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BAC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Bank of America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PFE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Pfizer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Citi Bank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General Electric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AAPL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Apple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JPM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JP Morgan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JNJ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Johnson &amp; Johnson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AMZN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212529"/>
                <w:sz w:val="20"/>
                <w:szCs w:val="20"/>
                <w:rtl w:val="0"/>
              </w:rPr>
              <w:t xml:space="preserve">Amazon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jc w:val="both"/>
        <w:rPr>
          <w:rFonts w:ascii="Tahoma" w:cs="Tahoma" w:eastAsia="Tahoma" w:hAnsi="Tahoma"/>
          <w:color w:val="202124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Tahoma" w:cs="Tahoma" w:eastAsia="Tahoma" w:hAnsi="Tahoma"/>
          <w:color w:val="202124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both"/>
        <w:rPr>
          <w:rFonts w:ascii="Tahoma" w:cs="Tahoma" w:eastAsia="Tahoma" w:hAnsi="Tahoma"/>
          <w:color w:val="202124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both"/>
        <w:rPr>
          <w:rFonts w:ascii="Tahoma" w:cs="Tahoma" w:eastAsia="Tahoma" w:hAnsi="Tahoma"/>
          <w:color w:val="202124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both"/>
        <w:rPr>
          <w:rFonts w:ascii="Tahoma" w:cs="Tahoma" w:eastAsia="Tahoma" w:hAnsi="Tahoma"/>
          <w:color w:val="202124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both"/>
        <w:rPr>
          <w:rFonts w:ascii="Tahoma" w:cs="Tahoma" w:eastAsia="Tahoma" w:hAnsi="Tahom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157496</wp:posOffset>
                </wp:positionV>
                <wp:extent cx="562102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5490" y="3780000"/>
                          <a:ext cx="56210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157496</wp:posOffset>
                </wp:positionV>
                <wp:extent cx="562102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10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Acerca de bvc: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La Bolsa de Valores de Colombia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bvc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) es el operador líder de la infraestructura del mercado de capitales colombiano con presencia en toda la cadena de valor.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bvc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ofrece soluciones y servicios de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Listado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(servicios al emisor y emisiones),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Negociación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(acceso, transaccional y registro),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Post-negociación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(administración de riesgos, compensación, liquidación, custodia y administración de valores),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Información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(Información de mercado y proveeduría de precios) y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Tecnología 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(implementación de sistemas de </w:t>
      </w: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Core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bancario, mercado de capitales y soluciones digitales) en los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mercados bursátiles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OTC</w:t>
      </w: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c4587"/>
          <w:sz w:val="18"/>
          <w:szCs w:val="18"/>
          <w:u w:val="none"/>
          <w:shd w:fill="auto" w:val="clear"/>
          <w:vertAlign w:val="baseline"/>
          <w:rtl w:val="0"/>
        </w:rPr>
        <w:t xml:space="preserve"> de renta variable, renta fija, derivados y divisas.</w:t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rFonts w:ascii="Tahoma" w:cs="Tahoma" w:eastAsia="Tahoma" w:hAnsi="Tahoma"/>
                <w:b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c4587"/>
                <w:sz w:val="18"/>
                <w:szCs w:val="18"/>
                <w:rtl w:val="0"/>
              </w:rPr>
              <w:t xml:space="preserve">Contacts: </w:t>
            </w:r>
          </w:p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rFonts w:ascii="Tahoma" w:cs="Tahoma" w:eastAsia="Tahoma" w:hAnsi="Tahoma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rFonts w:ascii="Tahoma" w:cs="Tahoma" w:eastAsia="Tahoma" w:hAnsi="Tahoma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Jaime Sarmiento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Medios y Relaciones Públicas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+57 1 3139800 Ext. 7246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Correo: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i w:val="0"/>
                  <w:smallCaps w:val="0"/>
                  <w:strike w:val="0"/>
                  <w:color w:val="1c4587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comunicaciones@bvc.com.co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Carlos Barrios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Relación con Inversionistas y Sostenibilidad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Tel: +57 1 3139800 Ext. 7167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Correo: </w:t>
            </w:r>
            <w:hyperlink r:id="rId8">
              <w:r w:rsidDel="00000000" w:rsidR="00000000" w:rsidRPr="00000000">
                <w:rPr>
                  <w:rFonts w:ascii="Tahoma" w:cs="Tahoma" w:eastAsia="Tahoma" w:hAnsi="Tahoma"/>
                  <w:i w:val="0"/>
                  <w:smallCaps w:val="0"/>
                  <w:strike w:val="0"/>
                  <w:color w:val="1c4587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cbarrios@bvc.com.co</w:t>
              </w:r>
            </w:hyperlink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1c458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jc w:val="both"/>
        <w:rPr>
          <w:rFonts w:ascii="Tahoma" w:cs="Tahoma" w:eastAsia="Tahoma" w:hAnsi="Tahoma"/>
          <w:color w:val="1c458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361950</wp:posOffset>
            </wp:positionV>
            <wp:extent cx="6180773" cy="115341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0773" cy="1153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709" w:top="170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-335279</wp:posOffset>
          </wp:positionV>
          <wp:extent cx="7478100" cy="107918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8100" cy="10791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comunicaciones@bvc.com.co" TargetMode="External"/><Relationship Id="rId8" Type="http://schemas.openxmlformats.org/officeDocument/2006/relationships/hyperlink" Target="mailto:cbarrios@bvc.com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