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8826" w14:textId="0D222477" w:rsidR="00382E2C" w:rsidRPr="00354D15" w:rsidRDefault="007F64DB" w:rsidP="00432BE0">
      <w:pPr>
        <w:jc w:val="right"/>
        <w:rPr>
          <w:rFonts w:eastAsia="Times New Roman" w:cs="Arial"/>
          <w:b/>
          <w:sz w:val="20"/>
          <w:szCs w:val="20"/>
        </w:rPr>
      </w:pPr>
      <w:r w:rsidRPr="00354D15">
        <w:rPr>
          <w:rFonts w:eastAsia="Times New Roman" w:cs="Arial"/>
          <w:b/>
          <w:noProof/>
          <w:sz w:val="20"/>
          <w:szCs w:val="20"/>
        </w:rPr>
        <w:drawing>
          <wp:inline distT="0" distB="0" distL="0" distR="0" wp14:anchorId="78EC069C" wp14:editId="46EA841E">
            <wp:extent cx="2164080" cy="510540"/>
            <wp:effectExtent l="0" t="0" r="7620" b="3810"/>
            <wp:docPr id="2" name="Imagen 2" descr="D:\Fernando\Credicorp\Logos\Credicorp Nuevo\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rnando\Credicorp\Logos\Credicorp Nuevo\Logo web.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471" t="32299" r="6009" b="31016"/>
                    <a:stretch/>
                  </pic:blipFill>
                  <pic:spPr bwMode="auto">
                    <a:xfrm>
                      <a:off x="0" y="0"/>
                      <a:ext cx="2168091" cy="511486"/>
                    </a:xfrm>
                    <a:prstGeom prst="rect">
                      <a:avLst/>
                    </a:prstGeom>
                    <a:noFill/>
                    <a:ln>
                      <a:noFill/>
                    </a:ln>
                    <a:extLst>
                      <a:ext uri="{53640926-AAD7-44D8-BBD7-CCE9431645EC}">
                        <a14:shadowObscured xmlns:a14="http://schemas.microsoft.com/office/drawing/2010/main"/>
                      </a:ext>
                    </a:extLst>
                  </pic:spPr>
                </pic:pic>
              </a:graphicData>
            </a:graphic>
          </wp:inline>
        </w:drawing>
      </w:r>
    </w:p>
    <w:p w14:paraId="52874D3E" w14:textId="65B98605" w:rsidR="00936F60" w:rsidRDefault="00C35E47" w:rsidP="0080464B">
      <w:pPr>
        <w:jc w:val="center"/>
        <w:rPr>
          <w:rFonts w:eastAsia="Times New Roman" w:cs="Arial"/>
          <w:b/>
          <w:u w:val="single"/>
          <w:lang w:val="es-PE"/>
        </w:rPr>
      </w:pPr>
      <w:r>
        <w:rPr>
          <w:rFonts w:eastAsia="Times New Roman" w:cs="Arial"/>
          <w:b/>
          <w:u w:val="single"/>
          <w:lang w:val="es-PE"/>
        </w:rPr>
        <w:t>Holding financiero</w:t>
      </w:r>
      <w:r w:rsidR="00A9219A" w:rsidRPr="00A9219A">
        <w:rPr>
          <w:rFonts w:eastAsia="Times New Roman" w:cs="Arial"/>
          <w:b/>
          <w:u w:val="single"/>
          <w:lang w:val="es-PE"/>
        </w:rPr>
        <w:t xml:space="preserve"> agrupa a BCP, BCP Bolivia, Credicorp Capital, Grupo Pacífico, Prima AFP, Mibanco, Mibanco Colombia, Atlantic Security Bank y Krealo </w:t>
      </w:r>
    </w:p>
    <w:p w14:paraId="712E870D" w14:textId="77777777" w:rsidR="00985DC4" w:rsidRPr="00354D15" w:rsidRDefault="00985DC4" w:rsidP="00985DC4">
      <w:pPr>
        <w:rPr>
          <w:rFonts w:eastAsia="Times New Roman" w:cs="Arial"/>
          <w:b/>
          <w:sz w:val="32"/>
          <w:lang w:val="es-PE"/>
        </w:rPr>
      </w:pPr>
    </w:p>
    <w:p w14:paraId="33D65675" w14:textId="01C81015" w:rsidR="00DC4725" w:rsidRPr="00354D15" w:rsidRDefault="00B177CA" w:rsidP="00D96E6F">
      <w:pPr>
        <w:jc w:val="center"/>
        <w:rPr>
          <w:rFonts w:eastAsia="Times New Roman" w:cs="Arial"/>
          <w:b/>
          <w:lang w:val="es-PE"/>
        </w:rPr>
      </w:pPr>
      <w:r>
        <w:rPr>
          <w:rFonts w:eastAsia="Times New Roman" w:cs="Arial"/>
          <w:b/>
          <w:sz w:val="32"/>
          <w:lang w:val="es-PE"/>
        </w:rPr>
        <w:t>Cr</w:t>
      </w:r>
      <w:r w:rsidR="00C35E47">
        <w:rPr>
          <w:rFonts w:eastAsia="Times New Roman" w:cs="Arial"/>
          <w:b/>
          <w:sz w:val="32"/>
          <w:lang w:val="es-PE"/>
        </w:rPr>
        <w:t xml:space="preserve">edicorp </w:t>
      </w:r>
      <w:r w:rsidR="00A9219A">
        <w:rPr>
          <w:rFonts w:eastAsia="Times New Roman" w:cs="Arial"/>
          <w:b/>
          <w:sz w:val="32"/>
          <w:lang w:val="es-PE"/>
        </w:rPr>
        <w:t xml:space="preserve">registró utilidad neta de </w:t>
      </w:r>
      <w:r w:rsidR="00A9219A" w:rsidRPr="00A9219A">
        <w:rPr>
          <w:rFonts w:eastAsia="Times New Roman" w:cs="Arial"/>
          <w:b/>
          <w:sz w:val="32"/>
          <w:lang w:val="es-PE"/>
        </w:rPr>
        <w:t xml:space="preserve">US$181 millones </w:t>
      </w:r>
      <w:r w:rsidR="00A9219A">
        <w:rPr>
          <w:rFonts w:eastAsia="Times New Roman" w:cs="Arial"/>
          <w:b/>
          <w:sz w:val="32"/>
          <w:lang w:val="es-PE"/>
        </w:rPr>
        <w:t xml:space="preserve">durante el </w:t>
      </w:r>
      <w:r w:rsidR="00A9219A" w:rsidRPr="00A9219A">
        <w:rPr>
          <w:rFonts w:eastAsia="Times New Roman" w:cs="Arial"/>
          <w:b/>
          <w:sz w:val="32"/>
          <w:lang w:val="es-PE"/>
        </w:rPr>
        <w:t>segundo trimestre</w:t>
      </w:r>
    </w:p>
    <w:p w14:paraId="042948E4" w14:textId="353FFF66" w:rsidR="00A004F0" w:rsidRPr="00354D15" w:rsidRDefault="00A004F0" w:rsidP="00042B03">
      <w:pPr>
        <w:jc w:val="both"/>
        <w:rPr>
          <w:rFonts w:cs="Arial"/>
          <w:b/>
          <w:sz w:val="22"/>
          <w:szCs w:val="22"/>
          <w:lang w:val="es-PE"/>
        </w:rPr>
      </w:pPr>
    </w:p>
    <w:p w14:paraId="78E991F0" w14:textId="7A867320" w:rsidR="002901BB" w:rsidRDefault="002901BB" w:rsidP="002901BB">
      <w:pPr>
        <w:pStyle w:val="Prrafodelista"/>
        <w:numPr>
          <w:ilvl w:val="0"/>
          <w:numId w:val="15"/>
        </w:numPr>
        <w:jc w:val="both"/>
        <w:rPr>
          <w:rFonts w:cs="Arial"/>
          <w:i/>
          <w:iCs/>
          <w:lang w:val="es-PE"/>
        </w:rPr>
      </w:pPr>
      <w:r w:rsidRPr="002901BB">
        <w:rPr>
          <w:rFonts w:cs="Arial"/>
          <w:i/>
          <w:iCs/>
          <w:lang w:val="es-PE"/>
        </w:rPr>
        <w:t xml:space="preserve">Credicorp continuó recuperándose y alcanzó un nivel de </w:t>
      </w:r>
      <w:r w:rsidR="00170681">
        <w:rPr>
          <w:rFonts w:cs="Arial"/>
          <w:i/>
          <w:iCs/>
          <w:lang w:val="es-PE"/>
        </w:rPr>
        <w:t>ROAE</w:t>
      </w:r>
      <w:r w:rsidRPr="002901BB">
        <w:rPr>
          <w:rFonts w:cs="Arial"/>
          <w:i/>
          <w:iCs/>
          <w:lang w:val="es-PE"/>
        </w:rPr>
        <w:t xml:space="preserve"> de 1</w:t>
      </w:r>
      <w:r w:rsidR="00B77F34">
        <w:rPr>
          <w:rFonts w:cs="Arial"/>
          <w:i/>
          <w:iCs/>
          <w:lang w:val="es-PE"/>
        </w:rPr>
        <w:t>1</w:t>
      </w:r>
      <w:r w:rsidRPr="002901BB">
        <w:rPr>
          <w:rFonts w:cs="Arial"/>
          <w:i/>
          <w:iCs/>
          <w:lang w:val="es-PE"/>
        </w:rPr>
        <w:t>.</w:t>
      </w:r>
      <w:r w:rsidR="00B77F34">
        <w:rPr>
          <w:rFonts w:cs="Arial"/>
          <w:i/>
          <w:iCs/>
          <w:lang w:val="es-PE"/>
        </w:rPr>
        <w:t>3</w:t>
      </w:r>
      <w:r w:rsidRPr="002901BB">
        <w:rPr>
          <w:rFonts w:cs="Arial"/>
          <w:i/>
          <w:iCs/>
          <w:lang w:val="es-PE"/>
        </w:rPr>
        <w:t>%</w:t>
      </w:r>
      <w:r>
        <w:rPr>
          <w:rFonts w:cs="Arial"/>
          <w:i/>
          <w:iCs/>
          <w:lang w:val="es-PE"/>
        </w:rPr>
        <w:t xml:space="preserve"> durante el</w:t>
      </w:r>
      <w:r w:rsidRPr="002901BB">
        <w:rPr>
          <w:rFonts w:cs="Arial"/>
          <w:i/>
          <w:iCs/>
          <w:lang w:val="es-PE"/>
        </w:rPr>
        <w:t xml:space="preserve"> </w:t>
      </w:r>
      <w:r w:rsidR="00B77F34">
        <w:rPr>
          <w:rFonts w:cs="Arial"/>
          <w:i/>
          <w:iCs/>
          <w:lang w:val="es-PE"/>
        </w:rPr>
        <w:t>segundo trimestre del año.</w:t>
      </w:r>
    </w:p>
    <w:p w14:paraId="12FB85DE" w14:textId="5892B28D" w:rsidR="00866C5C" w:rsidRPr="002901BB" w:rsidRDefault="00866C5C" w:rsidP="002901BB">
      <w:pPr>
        <w:pStyle w:val="Prrafodelista"/>
        <w:numPr>
          <w:ilvl w:val="0"/>
          <w:numId w:val="15"/>
        </w:numPr>
        <w:jc w:val="both"/>
        <w:rPr>
          <w:rFonts w:cs="Arial"/>
          <w:i/>
          <w:iCs/>
          <w:lang w:val="es-PE"/>
        </w:rPr>
      </w:pPr>
      <w:r>
        <w:rPr>
          <w:rFonts w:cs="Arial"/>
          <w:i/>
          <w:iCs/>
          <w:lang w:val="es-PE"/>
        </w:rPr>
        <w:t xml:space="preserve">Las subsidiarias en Colombia, Credicorp Capital y Mibanco Colombia, lograron </w:t>
      </w:r>
      <w:r w:rsidR="001D7019">
        <w:rPr>
          <w:rFonts w:cs="Arial"/>
          <w:i/>
          <w:iCs/>
          <w:lang w:val="es-PE"/>
        </w:rPr>
        <w:t>un crecimiento</w:t>
      </w:r>
      <w:r>
        <w:rPr>
          <w:rFonts w:cs="Arial"/>
          <w:i/>
          <w:iCs/>
          <w:lang w:val="es-PE"/>
        </w:rPr>
        <w:t xml:space="preserve"> en </w:t>
      </w:r>
      <w:r w:rsidR="001D7019">
        <w:rPr>
          <w:rFonts w:cs="Arial"/>
          <w:i/>
          <w:iCs/>
          <w:lang w:val="es-PE"/>
        </w:rPr>
        <w:t>los</w:t>
      </w:r>
      <w:r>
        <w:rPr>
          <w:rFonts w:cs="Arial"/>
          <w:i/>
          <w:iCs/>
          <w:lang w:val="es-PE"/>
        </w:rPr>
        <w:t xml:space="preserve"> ingresos por 14,22% y </w:t>
      </w:r>
      <w:r w:rsidR="001D7019">
        <w:rPr>
          <w:rFonts w:cs="Arial"/>
          <w:i/>
          <w:iCs/>
          <w:lang w:val="es-PE"/>
        </w:rPr>
        <w:t>un aumento</w:t>
      </w:r>
      <w:r w:rsidR="00A363D3">
        <w:rPr>
          <w:rFonts w:cs="Arial"/>
          <w:i/>
          <w:iCs/>
          <w:lang w:val="es-PE"/>
        </w:rPr>
        <w:t xml:space="preserve"> en </w:t>
      </w:r>
      <w:r w:rsidR="001D7019">
        <w:rPr>
          <w:rFonts w:cs="Arial"/>
          <w:i/>
          <w:iCs/>
          <w:lang w:val="es-PE"/>
        </w:rPr>
        <w:t>la</w:t>
      </w:r>
      <w:r w:rsidR="00A363D3">
        <w:rPr>
          <w:rFonts w:cs="Arial"/>
          <w:i/>
          <w:iCs/>
          <w:lang w:val="es-PE"/>
        </w:rPr>
        <w:t xml:space="preserve"> cartera superior al 8</w:t>
      </w:r>
      <w:r>
        <w:rPr>
          <w:rFonts w:cs="Arial"/>
          <w:i/>
          <w:iCs/>
          <w:lang w:val="es-PE"/>
        </w:rPr>
        <w:t>%, respectivamente.</w:t>
      </w:r>
    </w:p>
    <w:p w14:paraId="11907B88" w14:textId="77777777" w:rsidR="00FA01DD" w:rsidRPr="00354D15" w:rsidRDefault="00FA01DD" w:rsidP="00FA01DD">
      <w:pPr>
        <w:jc w:val="both"/>
        <w:rPr>
          <w:rFonts w:cs="Arial"/>
          <w:i/>
          <w:lang w:val="es-PE"/>
        </w:rPr>
      </w:pPr>
    </w:p>
    <w:p w14:paraId="094513B8" w14:textId="42B8FC46" w:rsidR="008651A5" w:rsidRDefault="00866C5C" w:rsidP="008651A5">
      <w:pPr>
        <w:jc w:val="both"/>
        <w:rPr>
          <w:rFonts w:cs="Arial"/>
          <w:lang w:val="es-PE"/>
        </w:rPr>
      </w:pPr>
      <w:r>
        <w:rPr>
          <w:rFonts w:cs="Arial"/>
          <w:b/>
          <w:lang w:val="es-PE"/>
        </w:rPr>
        <w:t>Bogotá</w:t>
      </w:r>
      <w:r w:rsidR="008841A3" w:rsidRPr="00354D15">
        <w:rPr>
          <w:rFonts w:cs="Arial"/>
          <w:b/>
          <w:lang w:val="es-PE"/>
        </w:rPr>
        <w:t xml:space="preserve">, </w:t>
      </w:r>
      <w:r w:rsidR="00A363D3">
        <w:rPr>
          <w:rFonts w:cs="Arial"/>
          <w:b/>
          <w:lang w:val="es-PE"/>
        </w:rPr>
        <w:t>20</w:t>
      </w:r>
      <w:r w:rsidR="00DC4725" w:rsidRPr="00354D15">
        <w:rPr>
          <w:rFonts w:cs="Arial"/>
          <w:b/>
          <w:lang w:val="es-PE"/>
        </w:rPr>
        <w:t xml:space="preserve"> de </w:t>
      </w:r>
      <w:r w:rsidR="00B77F34">
        <w:rPr>
          <w:rFonts w:cs="Arial"/>
          <w:b/>
          <w:lang w:val="es-PE"/>
        </w:rPr>
        <w:t xml:space="preserve">agosto </w:t>
      </w:r>
      <w:r w:rsidR="00DC4725" w:rsidRPr="00354D15">
        <w:rPr>
          <w:rFonts w:cs="Arial"/>
          <w:b/>
          <w:lang w:val="es-PE"/>
        </w:rPr>
        <w:t>de 202</w:t>
      </w:r>
      <w:r w:rsidR="00666E2B">
        <w:rPr>
          <w:rFonts w:cs="Arial"/>
          <w:b/>
          <w:lang w:val="es-PE"/>
        </w:rPr>
        <w:t>1</w:t>
      </w:r>
      <w:r w:rsidR="00DC4725" w:rsidRPr="00354D15">
        <w:rPr>
          <w:rFonts w:cs="Arial"/>
          <w:b/>
          <w:lang w:val="es-PE"/>
        </w:rPr>
        <w:t>.</w:t>
      </w:r>
      <w:r w:rsidR="001A2B78" w:rsidRPr="00354D15">
        <w:rPr>
          <w:rFonts w:cs="Arial"/>
          <w:b/>
          <w:lang w:val="es-PE"/>
        </w:rPr>
        <w:t>-</w:t>
      </w:r>
      <w:r w:rsidR="00AB0C56" w:rsidRPr="00354D15">
        <w:rPr>
          <w:rFonts w:cs="Arial"/>
          <w:lang w:val="es-PE"/>
        </w:rPr>
        <w:t xml:space="preserve"> </w:t>
      </w:r>
      <w:r w:rsidR="00666E2B">
        <w:rPr>
          <w:rFonts w:cs="Arial"/>
          <w:lang w:val="es-PE"/>
        </w:rPr>
        <w:t xml:space="preserve">Credicorp, </w:t>
      </w:r>
      <w:r w:rsidR="00E73A62">
        <w:rPr>
          <w:rFonts w:cs="Arial"/>
          <w:lang w:val="es-PE"/>
        </w:rPr>
        <w:t>grupo</w:t>
      </w:r>
      <w:r w:rsidR="00666E2B">
        <w:rPr>
          <w:rFonts w:cs="Arial"/>
          <w:lang w:val="es-PE"/>
        </w:rPr>
        <w:t xml:space="preserve"> financiero líder en el Perú con presencia en Bolivia, Chile, Colombia, Panamá y Estados Unidos</w:t>
      </w:r>
      <w:r w:rsidR="00A9219A">
        <w:rPr>
          <w:rFonts w:cs="Arial"/>
          <w:lang w:val="es-PE"/>
        </w:rPr>
        <w:t xml:space="preserve">, </w:t>
      </w:r>
      <w:r w:rsidR="008651A5">
        <w:rPr>
          <w:rFonts w:cs="Arial"/>
          <w:lang w:val="es-PE"/>
        </w:rPr>
        <w:t xml:space="preserve">presentó los resultados financieros del </w:t>
      </w:r>
      <w:r w:rsidR="00AF44A1">
        <w:rPr>
          <w:rFonts w:cs="Arial"/>
          <w:lang w:val="es-PE"/>
        </w:rPr>
        <w:t xml:space="preserve">segundo </w:t>
      </w:r>
      <w:r w:rsidR="00362827">
        <w:rPr>
          <w:rFonts w:cs="Arial"/>
          <w:lang w:val="es-PE"/>
        </w:rPr>
        <w:t xml:space="preserve">trimestre del </w:t>
      </w:r>
      <w:r w:rsidR="008651A5">
        <w:rPr>
          <w:rFonts w:cs="Arial"/>
          <w:lang w:val="es-PE"/>
        </w:rPr>
        <w:t>202</w:t>
      </w:r>
      <w:r w:rsidR="00362827">
        <w:rPr>
          <w:rFonts w:cs="Arial"/>
          <w:lang w:val="es-PE"/>
        </w:rPr>
        <w:t>1</w:t>
      </w:r>
      <w:r w:rsidR="008651A5">
        <w:rPr>
          <w:rFonts w:cs="Arial"/>
          <w:lang w:val="es-PE"/>
        </w:rPr>
        <w:t xml:space="preserve">, periodo en el que se registró una utilidad neta de </w:t>
      </w:r>
      <w:r w:rsidR="00393755">
        <w:rPr>
          <w:rFonts w:cs="Arial"/>
          <w:lang w:val="es-PE"/>
        </w:rPr>
        <w:t xml:space="preserve">aproximadamente, </w:t>
      </w:r>
      <w:r w:rsidR="00393755" w:rsidRPr="00B90943">
        <w:rPr>
          <w:rFonts w:cs="Arial"/>
          <w:lang w:val="es-PE"/>
        </w:rPr>
        <w:t>US$</w:t>
      </w:r>
      <w:r w:rsidR="00B90943">
        <w:rPr>
          <w:rFonts w:cs="Arial"/>
          <w:lang w:val="es-PE"/>
        </w:rPr>
        <w:t>181</w:t>
      </w:r>
      <w:r w:rsidR="00393755">
        <w:rPr>
          <w:rFonts w:cs="Arial"/>
          <w:lang w:val="es-PE"/>
        </w:rPr>
        <w:t xml:space="preserve"> millones</w:t>
      </w:r>
      <w:r w:rsidR="008651A5" w:rsidRPr="00666E2B">
        <w:rPr>
          <w:rFonts w:cs="Arial"/>
          <w:lang w:val="es-PE"/>
        </w:rPr>
        <w:t>, que se tradujo en un ROAE y ROAA de 1</w:t>
      </w:r>
      <w:r w:rsidR="00AF44A1">
        <w:rPr>
          <w:rFonts w:cs="Arial"/>
          <w:lang w:val="es-PE"/>
        </w:rPr>
        <w:t>1.3</w:t>
      </w:r>
      <w:r w:rsidR="008651A5" w:rsidRPr="00666E2B">
        <w:rPr>
          <w:rFonts w:cs="Arial"/>
          <w:lang w:val="es-PE"/>
        </w:rPr>
        <w:t>% y 1.1%, respectivamente.</w:t>
      </w:r>
    </w:p>
    <w:p w14:paraId="59C778F8" w14:textId="77777777" w:rsidR="00AF44A1" w:rsidRDefault="00AF44A1" w:rsidP="008651A5">
      <w:pPr>
        <w:jc w:val="both"/>
        <w:rPr>
          <w:rFonts w:cs="Arial"/>
          <w:lang w:val="es-PE"/>
        </w:rPr>
      </w:pPr>
    </w:p>
    <w:p w14:paraId="4755E4CE" w14:textId="18A71F95" w:rsidR="00F32FCE" w:rsidRDefault="0099650D" w:rsidP="00F32FCE">
      <w:pPr>
        <w:jc w:val="both"/>
        <w:rPr>
          <w:rFonts w:cs="Arial"/>
          <w:lang w:val="es-PE"/>
        </w:rPr>
      </w:pPr>
      <w:r>
        <w:rPr>
          <w:rFonts w:cs="Arial"/>
          <w:lang w:val="es-PE"/>
        </w:rPr>
        <w:t xml:space="preserve">En un </w:t>
      </w:r>
      <w:proofErr w:type="spellStart"/>
      <w:r w:rsidRPr="002E0004">
        <w:rPr>
          <w:rFonts w:cs="Arial"/>
          <w:i/>
          <w:iCs/>
          <w:lang w:val="es-PE"/>
        </w:rPr>
        <w:t>conference</w:t>
      </w:r>
      <w:proofErr w:type="spellEnd"/>
      <w:r w:rsidRPr="002E0004">
        <w:rPr>
          <w:rFonts w:cs="Arial"/>
          <w:i/>
          <w:iCs/>
          <w:lang w:val="es-PE"/>
        </w:rPr>
        <w:t xml:space="preserve"> </w:t>
      </w:r>
      <w:proofErr w:type="spellStart"/>
      <w:r w:rsidRPr="002E0004">
        <w:rPr>
          <w:rFonts w:cs="Arial"/>
          <w:i/>
          <w:iCs/>
          <w:lang w:val="es-PE"/>
        </w:rPr>
        <w:t>call</w:t>
      </w:r>
      <w:proofErr w:type="spellEnd"/>
      <w:r>
        <w:rPr>
          <w:rFonts w:cs="Arial"/>
          <w:lang w:val="es-PE"/>
        </w:rPr>
        <w:t xml:space="preserve"> con inversionistas, </w:t>
      </w:r>
      <w:r w:rsidR="0059282C" w:rsidRPr="00670F18">
        <w:rPr>
          <w:rFonts w:cs="Arial"/>
          <w:b/>
          <w:bCs/>
          <w:lang w:val="es-PE"/>
        </w:rPr>
        <w:t>César Ríos, CFO de Credicorp,</w:t>
      </w:r>
      <w:r w:rsidR="0059282C">
        <w:rPr>
          <w:rFonts w:cs="Arial"/>
          <w:lang w:val="es-PE"/>
        </w:rPr>
        <w:t xml:space="preserve"> comentó </w:t>
      </w:r>
      <w:r w:rsidR="002E0004">
        <w:rPr>
          <w:rFonts w:cs="Arial"/>
          <w:lang w:val="es-PE"/>
        </w:rPr>
        <w:t>que,</w:t>
      </w:r>
      <w:r w:rsidR="00D50C8B">
        <w:rPr>
          <w:rFonts w:cs="Arial"/>
          <w:lang w:val="es-PE"/>
        </w:rPr>
        <w:t xml:space="preserve"> </w:t>
      </w:r>
      <w:r w:rsidR="00AF44A1">
        <w:rPr>
          <w:rFonts w:cs="Arial"/>
          <w:lang w:val="es-PE"/>
        </w:rPr>
        <w:t xml:space="preserve">en la línea de negocio de </w:t>
      </w:r>
      <w:r w:rsidR="00AF44A1" w:rsidRPr="00D50C8B">
        <w:rPr>
          <w:rFonts w:cs="Arial"/>
          <w:b/>
          <w:bCs/>
          <w:lang w:val="es-PE"/>
        </w:rPr>
        <w:t>Banca Universal</w:t>
      </w:r>
      <w:r w:rsidR="00AF44A1">
        <w:rPr>
          <w:rFonts w:cs="Arial"/>
          <w:lang w:val="es-PE"/>
        </w:rPr>
        <w:t xml:space="preserve">, el </w:t>
      </w:r>
      <w:r w:rsidR="00AF44A1" w:rsidRPr="00AF44A1">
        <w:rPr>
          <w:rFonts w:cs="Arial"/>
          <w:lang w:val="es-PE"/>
        </w:rPr>
        <w:t xml:space="preserve">BCP </w:t>
      </w:r>
      <w:r w:rsidR="00D50C8B">
        <w:rPr>
          <w:rFonts w:cs="Arial"/>
          <w:lang w:val="es-PE"/>
        </w:rPr>
        <w:t>sigue guiando la recuperación de los resultados</w:t>
      </w:r>
      <w:r w:rsidR="006D35CB">
        <w:rPr>
          <w:rFonts w:cs="Arial"/>
          <w:lang w:val="es-PE"/>
        </w:rPr>
        <w:t xml:space="preserve"> y</w:t>
      </w:r>
      <w:r w:rsidR="00BE6221">
        <w:rPr>
          <w:rFonts w:cs="Arial"/>
          <w:lang w:val="es-PE"/>
        </w:rPr>
        <w:t xml:space="preserve"> </w:t>
      </w:r>
      <w:r w:rsidR="00AF44A1" w:rsidRPr="00AF44A1">
        <w:rPr>
          <w:rFonts w:cs="Arial"/>
          <w:lang w:val="es-PE"/>
        </w:rPr>
        <w:t xml:space="preserve">la cartera estructural </w:t>
      </w:r>
      <w:r w:rsidR="00D50C8B">
        <w:rPr>
          <w:rFonts w:cs="Arial"/>
          <w:lang w:val="es-PE"/>
        </w:rPr>
        <w:t xml:space="preserve">crece mientras las provisiones se reducen. Las mejoras se registran en casi </w:t>
      </w:r>
      <w:r w:rsidR="002E0004">
        <w:rPr>
          <w:rFonts w:cs="Arial"/>
          <w:lang w:val="es-PE"/>
        </w:rPr>
        <w:t>todas las ratios</w:t>
      </w:r>
      <w:r w:rsidR="00D50C8B">
        <w:rPr>
          <w:rFonts w:cs="Arial"/>
          <w:lang w:val="es-PE"/>
        </w:rPr>
        <w:t xml:space="preserve"> de las operaciones. Respecto a la línea de negocio de </w:t>
      </w:r>
      <w:r w:rsidR="00D50C8B" w:rsidRPr="00D50C8B">
        <w:rPr>
          <w:rFonts w:cs="Arial"/>
          <w:b/>
          <w:bCs/>
          <w:lang w:val="es-PE"/>
        </w:rPr>
        <w:t>Microfinanzas</w:t>
      </w:r>
      <w:r w:rsidR="00D50C8B">
        <w:rPr>
          <w:rFonts w:cs="Arial"/>
          <w:lang w:val="es-PE"/>
        </w:rPr>
        <w:t xml:space="preserve">, el CFO de Credicorp destacó que Mibanco </w:t>
      </w:r>
      <w:r w:rsidR="00F32FCE" w:rsidRPr="00F32FCE">
        <w:rPr>
          <w:rFonts w:cs="Arial"/>
          <w:lang w:val="es-PE"/>
        </w:rPr>
        <w:t xml:space="preserve">muestra </w:t>
      </w:r>
      <w:r w:rsidR="00D50C8B">
        <w:rPr>
          <w:rFonts w:cs="Arial"/>
          <w:lang w:val="es-PE"/>
        </w:rPr>
        <w:t xml:space="preserve">una </w:t>
      </w:r>
      <w:r w:rsidR="00F32FCE" w:rsidRPr="00F32FCE">
        <w:rPr>
          <w:rFonts w:cs="Arial"/>
          <w:lang w:val="es-PE"/>
        </w:rPr>
        <w:t>evolución positiva de desembolsos estructurales de menor riesgo.</w:t>
      </w:r>
    </w:p>
    <w:p w14:paraId="52A54F49" w14:textId="40CB5676" w:rsidR="00F32FCE" w:rsidRDefault="00F32FCE" w:rsidP="00F32FCE">
      <w:pPr>
        <w:jc w:val="both"/>
        <w:rPr>
          <w:rFonts w:cs="Arial"/>
          <w:lang w:val="es-PE"/>
        </w:rPr>
      </w:pPr>
    </w:p>
    <w:p w14:paraId="66DBC6D8" w14:textId="0B9E532C" w:rsidR="008C4AB9" w:rsidRDefault="00D50C8B" w:rsidP="008C4AB9">
      <w:pPr>
        <w:jc w:val="both"/>
        <w:rPr>
          <w:rFonts w:cs="Arial"/>
          <w:lang w:val="es-PE"/>
        </w:rPr>
      </w:pPr>
      <w:r>
        <w:rPr>
          <w:rFonts w:cs="Arial"/>
          <w:lang w:val="es-PE"/>
        </w:rPr>
        <w:t xml:space="preserve">Asimismo, en la línea de negocio </w:t>
      </w:r>
      <w:r w:rsidR="00F32FCE" w:rsidRPr="00F32FCE">
        <w:rPr>
          <w:rFonts w:cs="Arial"/>
          <w:lang w:val="es-PE"/>
        </w:rPr>
        <w:t xml:space="preserve">de </w:t>
      </w:r>
      <w:r w:rsidR="00E3051C" w:rsidRPr="00E3051C">
        <w:rPr>
          <w:rFonts w:cs="Arial"/>
          <w:b/>
          <w:bCs/>
          <w:lang w:val="es-PE"/>
        </w:rPr>
        <w:t xml:space="preserve">Banca de </w:t>
      </w:r>
      <w:r w:rsidR="00F32FCE" w:rsidRPr="00E3051C">
        <w:rPr>
          <w:rFonts w:cs="Arial"/>
          <w:b/>
          <w:bCs/>
          <w:lang w:val="es-PE"/>
        </w:rPr>
        <w:t>Inversión y Gestión de Patrimonios</w:t>
      </w:r>
      <w:r>
        <w:rPr>
          <w:rFonts w:cs="Arial"/>
          <w:lang w:val="es-PE"/>
        </w:rPr>
        <w:t xml:space="preserve">, </w:t>
      </w:r>
      <w:r w:rsidR="00E3051C">
        <w:rPr>
          <w:rFonts w:cs="Arial"/>
          <w:lang w:val="es-PE"/>
        </w:rPr>
        <w:t>comentó que e</w:t>
      </w:r>
      <w:r w:rsidR="00F32FCE" w:rsidRPr="00F32FCE">
        <w:rPr>
          <w:rFonts w:cs="Arial"/>
          <w:lang w:val="es-PE"/>
        </w:rPr>
        <w:t>l crecimiento de los ingresos se atribuye a los negocios de mercados de capitales y la gestión patrimonial</w:t>
      </w:r>
      <w:r w:rsidR="00E3051C">
        <w:rPr>
          <w:rFonts w:cs="Arial"/>
          <w:lang w:val="es-PE"/>
        </w:rPr>
        <w:t>; en tanto que</w:t>
      </w:r>
      <w:r w:rsidR="00866C5C">
        <w:rPr>
          <w:rFonts w:cs="Arial"/>
          <w:lang w:val="es-PE"/>
        </w:rPr>
        <w:t>,</w:t>
      </w:r>
      <w:r w:rsidR="00E3051C">
        <w:rPr>
          <w:rFonts w:cs="Arial"/>
          <w:lang w:val="es-PE"/>
        </w:rPr>
        <w:t xml:space="preserve"> en la línea de negocios de </w:t>
      </w:r>
      <w:r w:rsidR="00F32FCE" w:rsidRPr="00BE6221">
        <w:rPr>
          <w:rFonts w:cs="Arial"/>
          <w:b/>
          <w:bCs/>
          <w:lang w:val="es-PE"/>
        </w:rPr>
        <w:t>Seguros y Pensiones</w:t>
      </w:r>
      <w:r w:rsidR="00E3051C" w:rsidRPr="00BE6221">
        <w:rPr>
          <w:rFonts w:cs="Arial"/>
          <w:b/>
          <w:bCs/>
          <w:lang w:val="es-PE"/>
        </w:rPr>
        <w:t xml:space="preserve">, </w:t>
      </w:r>
      <w:r w:rsidR="00F32FCE" w:rsidRPr="00BE6221">
        <w:rPr>
          <w:rFonts w:cs="Arial"/>
          <w:lang w:val="es-PE"/>
        </w:rPr>
        <w:t>Pacífico</w:t>
      </w:r>
      <w:r w:rsidR="00E913CB" w:rsidRPr="00E913CB">
        <w:rPr>
          <w:rFonts w:cs="Arial"/>
          <w:lang w:val="es-PE"/>
        </w:rPr>
        <w:t xml:space="preserve"> continúa afectado por la mayor siniestralidad en el segmento de seguros de vida a causa de la pandemia.</w:t>
      </w:r>
    </w:p>
    <w:p w14:paraId="4A27A01A" w14:textId="77777777" w:rsidR="00A9219A" w:rsidRDefault="00A9219A" w:rsidP="008C4AB9">
      <w:pPr>
        <w:jc w:val="both"/>
        <w:rPr>
          <w:rFonts w:cs="Arial"/>
          <w:lang w:val="es-PE"/>
        </w:rPr>
      </w:pPr>
    </w:p>
    <w:p w14:paraId="5EA88552" w14:textId="4E48B19B" w:rsidR="00866C5C" w:rsidRPr="00E3051C" w:rsidRDefault="00866C5C" w:rsidP="00866C5C">
      <w:pPr>
        <w:jc w:val="both"/>
        <w:rPr>
          <w:rFonts w:cs="Arial"/>
          <w:b/>
          <w:bCs/>
          <w:lang w:val="es-PE"/>
        </w:rPr>
      </w:pPr>
      <w:r>
        <w:rPr>
          <w:rFonts w:cs="Arial"/>
          <w:b/>
          <w:bCs/>
          <w:lang w:val="es-PE"/>
        </w:rPr>
        <w:t>Resultados de las subsidiarias en Colombia</w:t>
      </w:r>
    </w:p>
    <w:p w14:paraId="0B11C956" w14:textId="77777777" w:rsidR="002E0004" w:rsidRDefault="00866C5C" w:rsidP="004F1E59">
      <w:pPr>
        <w:shd w:val="clear" w:color="auto" w:fill="FFFFFF"/>
        <w:jc w:val="both"/>
        <w:rPr>
          <w:rFonts w:cs="Arial"/>
          <w:lang w:val="es-CO"/>
        </w:rPr>
      </w:pPr>
      <w:r w:rsidRPr="00866C5C">
        <w:rPr>
          <w:rFonts w:cs="Arial"/>
          <w:lang w:val="es-PE"/>
        </w:rPr>
        <w:t>En Colombia</w:t>
      </w:r>
      <w:r>
        <w:rPr>
          <w:rFonts w:cs="Arial"/>
          <w:lang w:val="es-PE"/>
        </w:rPr>
        <w:t>,</w:t>
      </w:r>
      <w:r w:rsidRPr="00866C5C">
        <w:rPr>
          <w:rFonts w:cs="Arial"/>
          <w:lang w:val="es-PE"/>
        </w:rPr>
        <w:t xml:space="preserve"> Credicorp</w:t>
      </w:r>
      <w:r>
        <w:rPr>
          <w:rFonts w:cs="Arial"/>
          <w:lang w:val="es-PE"/>
        </w:rPr>
        <w:t xml:space="preserve"> </w:t>
      </w:r>
      <w:r w:rsidRPr="00A363D3">
        <w:rPr>
          <w:rFonts w:cs="Arial"/>
          <w:lang w:val="es-PE"/>
        </w:rPr>
        <w:t>Capital</w:t>
      </w:r>
      <w:r w:rsidRPr="00866C5C">
        <w:rPr>
          <w:rFonts w:cs="Arial"/>
          <w:lang w:val="es-PE"/>
        </w:rPr>
        <w:t xml:space="preserve"> logró una utilidad de</w:t>
      </w:r>
      <w:r w:rsidR="00DC0940">
        <w:rPr>
          <w:rFonts w:cs="Arial"/>
          <w:lang w:val="es-PE"/>
        </w:rPr>
        <w:t xml:space="preserve"> COP</w:t>
      </w:r>
      <w:r>
        <w:rPr>
          <w:rFonts w:cs="Arial"/>
          <w:lang w:val="es-PE"/>
        </w:rPr>
        <w:t xml:space="preserve"> </w:t>
      </w:r>
      <w:r w:rsidRPr="00866C5C">
        <w:rPr>
          <w:rFonts w:cs="Arial"/>
          <w:lang w:val="es-PE"/>
        </w:rPr>
        <w:t>$22.440 millones</w:t>
      </w:r>
      <w:r>
        <w:rPr>
          <w:rFonts w:cs="Arial"/>
          <w:lang w:val="es-PE"/>
        </w:rPr>
        <w:t xml:space="preserve"> </w:t>
      </w:r>
      <w:r w:rsidRPr="00866C5C">
        <w:rPr>
          <w:rFonts w:cs="Arial"/>
          <w:lang w:val="es-PE"/>
        </w:rPr>
        <w:t xml:space="preserve">impulsado por sus líneas de negocio de </w:t>
      </w:r>
      <w:r w:rsidR="00DC0940">
        <w:rPr>
          <w:rFonts w:cs="Arial"/>
          <w:lang w:val="es-PE"/>
        </w:rPr>
        <w:t>Gestión de Activos</w:t>
      </w:r>
      <w:r w:rsidRPr="00866C5C">
        <w:rPr>
          <w:rFonts w:cs="Arial"/>
          <w:lang w:val="es-PE"/>
        </w:rPr>
        <w:t xml:space="preserve"> y </w:t>
      </w:r>
      <w:r w:rsidR="00DC0940">
        <w:rPr>
          <w:rFonts w:cs="Arial"/>
          <w:lang w:val="es-PE"/>
        </w:rPr>
        <w:t>Negocios de Confianza. Asimismo, d</w:t>
      </w:r>
      <w:r w:rsidRPr="00866C5C">
        <w:rPr>
          <w:rFonts w:cs="Arial"/>
          <w:lang w:val="es-PE"/>
        </w:rPr>
        <w:t>urante 2021 ha logrado consolidar la fusión con la comisionista Ultraserfinco, mostrando un crecimiento de</w:t>
      </w:r>
      <w:r w:rsidR="00DC0940">
        <w:rPr>
          <w:rFonts w:cs="Arial"/>
          <w:lang w:val="es-PE"/>
        </w:rPr>
        <w:t>l</w:t>
      </w:r>
      <w:r w:rsidRPr="00866C5C">
        <w:rPr>
          <w:rFonts w:cs="Arial"/>
          <w:lang w:val="es-PE"/>
        </w:rPr>
        <w:t xml:space="preserve"> 14,22% en los ingresos </w:t>
      </w:r>
      <w:r w:rsidR="004F1E59">
        <w:rPr>
          <w:rFonts w:cs="Arial"/>
          <w:lang w:val="es-PE"/>
        </w:rPr>
        <w:t>y</w:t>
      </w:r>
      <w:r w:rsidR="004F1E59" w:rsidRPr="004F1E59">
        <w:rPr>
          <w:rFonts w:cs="Arial"/>
          <w:lang w:val="es-CO"/>
        </w:rPr>
        <w:t xml:space="preserve"> </w:t>
      </w:r>
      <w:r w:rsidR="00DC0940">
        <w:rPr>
          <w:rFonts w:cs="Arial"/>
          <w:lang w:val="es-CO"/>
        </w:rPr>
        <w:t>del 2% en la</w:t>
      </w:r>
      <w:r w:rsidR="004F1E59" w:rsidRPr="004F1E59">
        <w:rPr>
          <w:rFonts w:cs="Arial"/>
          <w:lang w:val="es-CO"/>
        </w:rPr>
        <w:t xml:space="preserve"> utilidad neta</w:t>
      </w:r>
      <w:r w:rsidR="00DC0940">
        <w:rPr>
          <w:rFonts w:cs="Arial"/>
          <w:lang w:val="es-CO"/>
        </w:rPr>
        <w:t xml:space="preserve"> </w:t>
      </w:r>
      <w:r w:rsidR="004F1E59" w:rsidRPr="004F1E59">
        <w:rPr>
          <w:rFonts w:cs="Arial"/>
          <w:lang w:val="es-CO"/>
        </w:rPr>
        <w:t>frente al año anterior.</w:t>
      </w:r>
      <w:r w:rsidR="004F1E59">
        <w:rPr>
          <w:rFonts w:cs="Arial"/>
          <w:lang w:val="es-CO"/>
        </w:rPr>
        <w:t xml:space="preserve"> </w:t>
      </w:r>
    </w:p>
    <w:p w14:paraId="09BD4BE4" w14:textId="77777777" w:rsidR="002E0004" w:rsidRDefault="002E0004" w:rsidP="004F1E59">
      <w:pPr>
        <w:shd w:val="clear" w:color="auto" w:fill="FFFFFF"/>
        <w:jc w:val="both"/>
        <w:rPr>
          <w:rFonts w:cs="Arial"/>
          <w:lang w:val="es-CO"/>
        </w:rPr>
      </w:pPr>
    </w:p>
    <w:p w14:paraId="578A94E2" w14:textId="4465A024" w:rsidR="00A363D3" w:rsidRDefault="00866C5C" w:rsidP="004F1E59">
      <w:pPr>
        <w:shd w:val="clear" w:color="auto" w:fill="FFFFFF"/>
        <w:jc w:val="both"/>
        <w:rPr>
          <w:rFonts w:cs="Arial"/>
          <w:lang w:val="es-PE"/>
        </w:rPr>
      </w:pPr>
      <w:r>
        <w:rPr>
          <w:rFonts w:cs="Arial"/>
          <w:lang w:val="es-PE"/>
        </w:rPr>
        <w:t xml:space="preserve">Por su parte, </w:t>
      </w:r>
      <w:r w:rsidR="0048445A">
        <w:rPr>
          <w:rFonts w:cs="Arial"/>
          <w:lang w:val="es-PE"/>
        </w:rPr>
        <w:t xml:space="preserve">la subsidiaria </w:t>
      </w:r>
      <w:r>
        <w:rPr>
          <w:rFonts w:cs="Arial"/>
          <w:lang w:val="es-PE"/>
        </w:rPr>
        <w:t xml:space="preserve">Mibanco </w:t>
      </w:r>
      <w:r w:rsidR="00A363D3">
        <w:rPr>
          <w:rFonts w:cs="Arial"/>
          <w:lang w:val="es-PE"/>
        </w:rPr>
        <w:t xml:space="preserve">Colombia cerró el segundo trimestre del año con más de 103 mil clientes con algún producto financiero, un crecimiento de cartera mayor al 8% y se convirtió en la primera entidad de microfinanzas </w:t>
      </w:r>
      <w:r w:rsidR="0048445A">
        <w:rPr>
          <w:rFonts w:cs="Arial"/>
          <w:lang w:val="es-PE"/>
        </w:rPr>
        <w:t xml:space="preserve">del país </w:t>
      </w:r>
      <w:r w:rsidR="00A363D3">
        <w:rPr>
          <w:rFonts w:cs="Arial"/>
          <w:lang w:val="es-PE"/>
        </w:rPr>
        <w:t>en obtener la calificación AAA por parte de Fitch Ratings.</w:t>
      </w:r>
    </w:p>
    <w:p w14:paraId="2C989328" w14:textId="77777777" w:rsidR="004F1E59" w:rsidRPr="004F1E59" w:rsidRDefault="004F1E59" w:rsidP="004F1E59">
      <w:pPr>
        <w:shd w:val="clear" w:color="auto" w:fill="FFFFFF"/>
        <w:jc w:val="both"/>
        <w:rPr>
          <w:rFonts w:cs="Arial"/>
          <w:lang w:val="es-PE"/>
        </w:rPr>
      </w:pPr>
    </w:p>
    <w:p w14:paraId="01C6B244" w14:textId="1E3AF9B7" w:rsidR="00E3051C" w:rsidRPr="00E3051C" w:rsidRDefault="00E3051C" w:rsidP="008C4AB9">
      <w:pPr>
        <w:jc w:val="both"/>
        <w:rPr>
          <w:rFonts w:cs="Arial"/>
          <w:b/>
          <w:bCs/>
          <w:lang w:val="es-PE"/>
        </w:rPr>
      </w:pPr>
      <w:r>
        <w:rPr>
          <w:rFonts w:cs="Arial"/>
          <w:b/>
          <w:bCs/>
          <w:lang w:val="es-PE"/>
        </w:rPr>
        <w:t>Estrategia sostenible y digital</w:t>
      </w:r>
    </w:p>
    <w:p w14:paraId="13BFC71E" w14:textId="0C60AA9B" w:rsidR="001C1D5A" w:rsidRDefault="00E3051C" w:rsidP="00F32FCE">
      <w:pPr>
        <w:jc w:val="both"/>
        <w:rPr>
          <w:rFonts w:cs="Arial"/>
          <w:lang w:val="es-PE"/>
        </w:rPr>
      </w:pPr>
      <w:r>
        <w:rPr>
          <w:rFonts w:cs="Arial"/>
          <w:lang w:val="es-PE"/>
        </w:rPr>
        <w:lastRenderedPageBreak/>
        <w:t xml:space="preserve">César Ríos también se refirió al sólido potencial que tienen las iniciativas Fintech de Credicorp en la región. En el Perú, </w:t>
      </w:r>
      <w:r w:rsidR="00F54625">
        <w:rPr>
          <w:rFonts w:cs="Arial"/>
          <w:lang w:val="es-PE"/>
        </w:rPr>
        <w:t xml:space="preserve">destacó </w:t>
      </w:r>
      <w:r>
        <w:rPr>
          <w:rFonts w:cs="Arial"/>
          <w:lang w:val="es-PE"/>
        </w:rPr>
        <w:t xml:space="preserve">el notable avance de </w:t>
      </w:r>
      <w:r w:rsidRPr="00F54625">
        <w:rPr>
          <w:rFonts w:cs="Arial"/>
          <w:b/>
          <w:bCs/>
          <w:lang w:val="es-PE"/>
        </w:rPr>
        <w:t>Yape</w:t>
      </w:r>
      <w:r>
        <w:rPr>
          <w:rFonts w:cs="Arial"/>
          <w:lang w:val="es-PE"/>
        </w:rPr>
        <w:t xml:space="preserve">, que a junio </w:t>
      </w:r>
      <w:r w:rsidR="00F54625">
        <w:rPr>
          <w:rFonts w:cs="Arial"/>
          <w:lang w:val="es-PE"/>
        </w:rPr>
        <w:t xml:space="preserve">pasado </w:t>
      </w:r>
      <w:r>
        <w:rPr>
          <w:rFonts w:cs="Arial"/>
          <w:lang w:val="es-PE"/>
        </w:rPr>
        <w:t xml:space="preserve">registró 6.6 millones de usuarios </w:t>
      </w:r>
      <w:r w:rsidR="00F54625">
        <w:rPr>
          <w:rFonts w:cs="Arial"/>
          <w:lang w:val="es-PE"/>
        </w:rPr>
        <w:t>e</w:t>
      </w:r>
      <w:r>
        <w:rPr>
          <w:rFonts w:cs="Arial"/>
          <w:lang w:val="es-PE"/>
        </w:rPr>
        <w:t xml:space="preserve"> </w:t>
      </w:r>
      <w:r w:rsidR="00F54625">
        <w:rPr>
          <w:rFonts w:cs="Arial"/>
          <w:lang w:val="es-PE"/>
        </w:rPr>
        <w:t xml:space="preserve">incluyó </w:t>
      </w:r>
      <w:r>
        <w:rPr>
          <w:rFonts w:cs="Arial"/>
          <w:lang w:val="es-PE"/>
        </w:rPr>
        <w:t>al sistema financiero a 1 millón de personas</w:t>
      </w:r>
      <w:r w:rsidR="00F54625">
        <w:rPr>
          <w:rFonts w:cs="Arial"/>
          <w:lang w:val="es-PE"/>
        </w:rPr>
        <w:t xml:space="preserve">. A través de esta billetera digital se realizan más de 27 millones de transacciones al mes, 68% de las cuales son hechas por pequeños negocios. Por su parte, </w:t>
      </w:r>
      <w:proofErr w:type="spellStart"/>
      <w:r w:rsidR="00F54625" w:rsidRPr="00E43E64">
        <w:rPr>
          <w:rFonts w:cs="Arial"/>
          <w:b/>
          <w:bCs/>
          <w:lang w:val="es-PE"/>
        </w:rPr>
        <w:t>Tenpo</w:t>
      </w:r>
      <w:proofErr w:type="spellEnd"/>
      <w:r w:rsidR="00F54625">
        <w:rPr>
          <w:rFonts w:cs="Arial"/>
          <w:lang w:val="es-PE"/>
        </w:rPr>
        <w:t xml:space="preserve">, </w:t>
      </w:r>
      <w:r w:rsidR="001C1D5A">
        <w:rPr>
          <w:rFonts w:cs="Arial"/>
          <w:lang w:val="es-PE"/>
        </w:rPr>
        <w:t>solución digital en</w:t>
      </w:r>
      <w:r w:rsidR="00F54625">
        <w:rPr>
          <w:rFonts w:cs="Arial"/>
          <w:lang w:val="es-PE"/>
        </w:rPr>
        <w:t xml:space="preserve"> C</w:t>
      </w:r>
      <w:r w:rsidR="001C1D5A">
        <w:rPr>
          <w:rFonts w:cs="Arial"/>
          <w:lang w:val="es-PE"/>
        </w:rPr>
        <w:t>hile</w:t>
      </w:r>
      <w:r w:rsidR="00F54625">
        <w:rPr>
          <w:rFonts w:cs="Arial"/>
          <w:lang w:val="es-PE"/>
        </w:rPr>
        <w:t xml:space="preserve">, tiene más de 537 mil usuarios, que realizan más de 428 mil transacciones al mes. Asimismo, </w:t>
      </w:r>
      <w:proofErr w:type="spellStart"/>
      <w:r w:rsidR="00F54625" w:rsidRPr="00E43E64">
        <w:rPr>
          <w:rFonts w:cs="Arial"/>
          <w:b/>
          <w:bCs/>
          <w:lang w:val="es-PE"/>
        </w:rPr>
        <w:t>tyba</w:t>
      </w:r>
      <w:proofErr w:type="spellEnd"/>
      <w:r w:rsidR="00F54625">
        <w:rPr>
          <w:rFonts w:cs="Arial"/>
          <w:lang w:val="es-PE"/>
        </w:rPr>
        <w:t>, aplicación digital que permite ahorrar e invertir, tiene más de 293 mil usuarios en Colombia, desde 2019, y en Perú desde mayo pasado.</w:t>
      </w:r>
    </w:p>
    <w:p w14:paraId="3248C74F" w14:textId="2D12FEE9" w:rsidR="001C1D5A" w:rsidRDefault="001C1D5A" w:rsidP="00F32FCE">
      <w:pPr>
        <w:jc w:val="both"/>
        <w:rPr>
          <w:rFonts w:cs="Arial"/>
          <w:lang w:val="es-PE"/>
        </w:rPr>
      </w:pPr>
    </w:p>
    <w:p w14:paraId="245CE3CF" w14:textId="3AD880A5" w:rsidR="001C1D5A" w:rsidRPr="00E43E64" w:rsidRDefault="006D35CB" w:rsidP="00F32FCE">
      <w:pPr>
        <w:jc w:val="both"/>
        <w:rPr>
          <w:rFonts w:cs="Arial"/>
          <w:lang w:val="es-PE"/>
        </w:rPr>
      </w:pPr>
      <w:r>
        <w:rPr>
          <w:rFonts w:cs="Arial"/>
          <w:lang w:val="es-PE"/>
        </w:rPr>
        <w:t>Asimismo, reportó sobre</w:t>
      </w:r>
      <w:r w:rsidR="00230D4E">
        <w:rPr>
          <w:rFonts w:cs="Arial"/>
          <w:lang w:val="es-PE"/>
        </w:rPr>
        <w:t xml:space="preserve"> los avances de la estrategia de sostenibilidad de Credicorp en los primeros seis meses del año. En el frente de </w:t>
      </w:r>
      <w:r w:rsidR="00230D4E" w:rsidRPr="00E43E64">
        <w:rPr>
          <w:rFonts w:cs="Arial"/>
          <w:b/>
          <w:bCs/>
          <w:lang w:val="es-PE"/>
        </w:rPr>
        <w:t>medio ambiente</w:t>
      </w:r>
      <w:r w:rsidR="00230D4E">
        <w:rPr>
          <w:rFonts w:cs="Arial"/>
          <w:lang w:val="es-PE"/>
        </w:rPr>
        <w:t>, el Grupo ha desplegado acciones para mitigar y reducir sus emisiones de carbón</w:t>
      </w:r>
      <w:r w:rsidR="00EA6E96">
        <w:rPr>
          <w:rFonts w:cs="Arial"/>
          <w:lang w:val="es-PE"/>
        </w:rPr>
        <w:t xml:space="preserve">. En el ámbito </w:t>
      </w:r>
      <w:r w:rsidR="00EA6E96" w:rsidRPr="00E43E64">
        <w:rPr>
          <w:rFonts w:cs="Arial"/>
          <w:b/>
          <w:bCs/>
          <w:lang w:val="es-PE"/>
        </w:rPr>
        <w:t>social</w:t>
      </w:r>
      <w:r w:rsidR="00EA6E96">
        <w:rPr>
          <w:rFonts w:cs="Arial"/>
          <w:lang w:val="es-PE"/>
        </w:rPr>
        <w:t>, Credicorp ha reafirmado su compromiso con la inclusión y la educación financiera</w:t>
      </w:r>
      <w:r w:rsidR="00670F18">
        <w:rPr>
          <w:rFonts w:cs="Arial"/>
          <w:lang w:val="es-PE"/>
        </w:rPr>
        <w:t xml:space="preserve"> y ha potenciado sus </w:t>
      </w:r>
      <w:r w:rsidR="00EA6E96">
        <w:rPr>
          <w:rFonts w:cs="Arial"/>
          <w:lang w:val="es-PE"/>
        </w:rPr>
        <w:t xml:space="preserve">iniciativas que </w:t>
      </w:r>
      <w:r w:rsidR="00670F18">
        <w:rPr>
          <w:rFonts w:cs="Arial"/>
          <w:lang w:val="es-PE"/>
        </w:rPr>
        <w:t>i</w:t>
      </w:r>
      <w:r w:rsidR="00EA6E96">
        <w:rPr>
          <w:rFonts w:cs="Arial"/>
          <w:lang w:val="es-PE"/>
        </w:rPr>
        <w:t>mpact</w:t>
      </w:r>
      <w:r w:rsidR="00670F18">
        <w:rPr>
          <w:rFonts w:cs="Arial"/>
          <w:lang w:val="es-PE"/>
        </w:rPr>
        <w:t>an</w:t>
      </w:r>
      <w:r w:rsidR="00EA6E96">
        <w:rPr>
          <w:rFonts w:cs="Arial"/>
          <w:lang w:val="es-PE"/>
        </w:rPr>
        <w:t xml:space="preserve"> en la vida de millones de personas. Asimismo, se ha inclui</w:t>
      </w:r>
      <w:r w:rsidR="00670F18">
        <w:rPr>
          <w:rFonts w:cs="Arial"/>
          <w:lang w:val="es-PE"/>
        </w:rPr>
        <w:t>do</w:t>
      </w:r>
      <w:r w:rsidR="00EA6E96">
        <w:rPr>
          <w:rFonts w:cs="Arial"/>
          <w:lang w:val="es-PE"/>
        </w:rPr>
        <w:t xml:space="preserve"> la perspectiva de género en la planificación de sucesión en la plana gerencial. Finalmente, </w:t>
      </w:r>
      <w:r w:rsidR="00E43E64">
        <w:rPr>
          <w:rFonts w:cs="Arial"/>
          <w:lang w:val="es-PE"/>
        </w:rPr>
        <w:t xml:space="preserve">en el frente de </w:t>
      </w:r>
      <w:r w:rsidR="00E43E64" w:rsidRPr="00E43E64">
        <w:rPr>
          <w:rFonts w:cs="Arial"/>
          <w:b/>
          <w:bCs/>
          <w:lang w:val="es-PE"/>
        </w:rPr>
        <w:t>gobierno corporativo</w:t>
      </w:r>
      <w:r w:rsidR="00E43E64">
        <w:rPr>
          <w:rFonts w:cs="Arial"/>
          <w:lang w:val="es-PE"/>
        </w:rPr>
        <w:t xml:space="preserve"> </w:t>
      </w:r>
      <w:r w:rsidR="00EA6E96">
        <w:rPr>
          <w:rFonts w:cs="Arial"/>
          <w:lang w:val="es-PE"/>
        </w:rPr>
        <w:t xml:space="preserve">se han efectuado ajustes sostenibles y mejoras en el </w:t>
      </w:r>
      <w:proofErr w:type="spellStart"/>
      <w:r w:rsidR="00EA6E96">
        <w:rPr>
          <w:rFonts w:cs="Arial"/>
          <w:lang w:val="es-PE"/>
        </w:rPr>
        <w:t>compliance</w:t>
      </w:r>
      <w:proofErr w:type="spellEnd"/>
      <w:r w:rsidR="00EA6E96">
        <w:rPr>
          <w:rFonts w:cs="Arial"/>
          <w:lang w:val="es-PE"/>
        </w:rPr>
        <w:t>.</w:t>
      </w:r>
    </w:p>
    <w:p w14:paraId="7D7BD07F" w14:textId="77777777" w:rsidR="001C1D5A" w:rsidRPr="00E43E64" w:rsidRDefault="001C1D5A" w:rsidP="008651A5">
      <w:pPr>
        <w:jc w:val="both"/>
        <w:rPr>
          <w:rFonts w:cs="Arial"/>
          <w:lang w:val="es-PE"/>
        </w:rPr>
      </w:pPr>
    </w:p>
    <w:p w14:paraId="7882F674" w14:textId="513CACF4" w:rsidR="00926328" w:rsidRDefault="00BE6221" w:rsidP="008651A5">
      <w:pPr>
        <w:jc w:val="both"/>
        <w:rPr>
          <w:rFonts w:cs="Arial"/>
          <w:b/>
          <w:lang w:val="es-PE"/>
        </w:rPr>
      </w:pPr>
      <w:r>
        <w:rPr>
          <w:rFonts w:cs="Arial"/>
          <w:b/>
          <w:lang w:val="es-PE"/>
        </w:rPr>
        <w:t>Mensaje</w:t>
      </w:r>
      <w:r w:rsidR="00F83F35">
        <w:rPr>
          <w:rFonts w:cs="Arial"/>
          <w:b/>
          <w:lang w:val="es-PE"/>
        </w:rPr>
        <w:t xml:space="preserve"> </w:t>
      </w:r>
      <w:r w:rsidR="006D35CB">
        <w:rPr>
          <w:rFonts w:cs="Arial"/>
          <w:b/>
          <w:lang w:val="es-PE"/>
        </w:rPr>
        <w:t>del CEO</w:t>
      </w:r>
      <w:r w:rsidR="00FC328B">
        <w:rPr>
          <w:rFonts w:cs="Arial"/>
          <w:b/>
          <w:lang w:val="es-PE"/>
        </w:rPr>
        <w:t xml:space="preserve"> </w:t>
      </w:r>
    </w:p>
    <w:p w14:paraId="6F4DF083" w14:textId="18D0CC29" w:rsidR="00FC328B" w:rsidRPr="00FC328B" w:rsidRDefault="00A9219A" w:rsidP="00FC328B">
      <w:pPr>
        <w:jc w:val="both"/>
        <w:rPr>
          <w:rFonts w:cs="Arial"/>
          <w:lang w:val="es-PE"/>
        </w:rPr>
      </w:pPr>
      <w:r w:rsidRPr="0021416A">
        <w:rPr>
          <w:rFonts w:cs="Arial"/>
          <w:lang w:val="es-PE"/>
        </w:rPr>
        <w:t>Respecto al contexto político y social en el Perú,</w:t>
      </w:r>
      <w:r w:rsidRPr="0021416A">
        <w:rPr>
          <w:rFonts w:cs="Arial"/>
          <w:b/>
          <w:bCs/>
          <w:lang w:val="es-PE"/>
        </w:rPr>
        <w:t xml:space="preserve"> </w:t>
      </w:r>
      <w:r w:rsidR="00FC328B" w:rsidRPr="0021416A">
        <w:rPr>
          <w:rFonts w:cs="Arial"/>
          <w:b/>
          <w:bCs/>
          <w:lang w:val="es-PE"/>
        </w:rPr>
        <w:t>Walter Bayly, CEO de Credicorp</w:t>
      </w:r>
      <w:r w:rsidR="00FC328B" w:rsidRPr="0021416A">
        <w:rPr>
          <w:rFonts w:cs="Arial"/>
          <w:lang w:val="es-PE"/>
        </w:rPr>
        <w:t>, manifestó que todas las variables bajo control gerencial están evolucionando favorablemente, por lo que afirmó que nos encontramos bien posicionados para superar los resultados esperados para este año.</w:t>
      </w:r>
      <w:r w:rsidR="00FC328B" w:rsidRPr="00FC328B">
        <w:rPr>
          <w:rFonts w:cs="Arial"/>
          <w:lang w:val="es-PE"/>
        </w:rPr>
        <w:t xml:space="preserve"> </w:t>
      </w:r>
    </w:p>
    <w:p w14:paraId="1C10D04C" w14:textId="77777777" w:rsidR="00FC328B" w:rsidRPr="00FC328B" w:rsidRDefault="00FC328B" w:rsidP="00FC328B">
      <w:pPr>
        <w:jc w:val="both"/>
        <w:rPr>
          <w:rFonts w:cs="Arial"/>
          <w:lang w:val="es-PE"/>
        </w:rPr>
      </w:pPr>
    </w:p>
    <w:p w14:paraId="4C13AD14" w14:textId="7FE67598" w:rsidR="00FC328B" w:rsidRPr="00FC328B" w:rsidRDefault="00FC328B" w:rsidP="00FC328B">
      <w:pPr>
        <w:jc w:val="both"/>
        <w:rPr>
          <w:rFonts w:cs="Arial"/>
          <w:lang w:val="es-PE"/>
        </w:rPr>
      </w:pPr>
      <w:r>
        <w:rPr>
          <w:rFonts w:cs="Arial"/>
          <w:lang w:val="es-PE"/>
        </w:rPr>
        <w:t>“</w:t>
      </w:r>
      <w:r w:rsidRPr="00FC328B">
        <w:rPr>
          <w:rFonts w:cs="Arial"/>
          <w:lang w:val="es-PE"/>
        </w:rPr>
        <w:t>Estamos ante un escenario político inestable, pero es bueno recordar que, lamentablemente, la estabilidad política no ha sido la norma en el Perú. Nuestros fundamentos macroeconómicos en el sistema financiero de seguimiento fiscal continúan siendo sólidos.</w:t>
      </w:r>
      <w:r w:rsidR="00670F18">
        <w:rPr>
          <w:rFonts w:cs="Arial"/>
          <w:lang w:val="es-PE"/>
        </w:rPr>
        <w:t xml:space="preserve"> Si bien</w:t>
      </w:r>
      <w:r>
        <w:rPr>
          <w:rFonts w:cs="Arial"/>
          <w:lang w:val="es-PE"/>
        </w:rPr>
        <w:t xml:space="preserve"> </w:t>
      </w:r>
      <w:r w:rsidRPr="00FC328B">
        <w:rPr>
          <w:rFonts w:cs="Arial"/>
          <w:lang w:val="es-PE"/>
        </w:rPr>
        <w:t>nuestro sistema democrático de controles y equilibrios es</w:t>
      </w:r>
      <w:r>
        <w:rPr>
          <w:rFonts w:cs="Arial"/>
          <w:lang w:val="es-PE"/>
        </w:rPr>
        <w:t>tá</w:t>
      </w:r>
      <w:r w:rsidRPr="00FC328B">
        <w:rPr>
          <w:rFonts w:cs="Arial"/>
          <w:lang w:val="es-PE"/>
        </w:rPr>
        <w:t xml:space="preserve"> y </w:t>
      </w:r>
      <w:r>
        <w:rPr>
          <w:rFonts w:cs="Arial"/>
          <w:lang w:val="es-PE"/>
        </w:rPr>
        <w:t xml:space="preserve">seguirá siendo </w:t>
      </w:r>
      <w:r w:rsidRPr="00FC328B">
        <w:rPr>
          <w:rFonts w:cs="Arial"/>
          <w:lang w:val="es-PE"/>
        </w:rPr>
        <w:t>probado y desafiado, somos cautelosamente optimistas sobre el resultado final</w:t>
      </w:r>
      <w:r>
        <w:rPr>
          <w:rFonts w:cs="Arial"/>
          <w:lang w:val="es-PE"/>
        </w:rPr>
        <w:t>”, anotó</w:t>
      </w:r>
      <w:r w:rsidRPr="00FC328B">
        <w:rPr>
          <w:rFonts w:cs="Arial"/>
          <w:lang w:val="es-PE"/>
        </w:rPr>
        <w:t xml:space="preserve">. </w:t>
      </w:r>
    </w:p>
    <w:p w14:paraId="29E3BE52" w14:textId="77777777" w:rsidR="00FC328B" w:rsidRPr="00FC328B" w:rsidRDefault="00FC328B" w:rsidP="00FC328B">
      <w:pPr>
        <w:jc w:val="both"/>
        <w:rPr>
          <w:rFonts w:cs="Arial"/>
          <w:lang w:val="es-PE"/>
        </w:rPr>
      </w:pPr>
    </w:p>
    <w:p w14:paraId="349CDF2E" w14:textId="3E24A620" w:rsidR="00FC328B" w:rsidRPr="0047498A" w:rsidRDefault="00FC328B" w:rsidP="00FC328B">
      <w:pPr>
        <w:jc w:val="both"/>
        <w:rPr>
          <w:rFonts w:cs="Arial"/>
          <w:lang w:val="es-PE"/>
        </w:rPr>
      </w:pPr>
      <w:r>
        <w:rPr>
          <w:rFonts w:cs="Arial"/>
          <w:lang w:val="es-PE"/>
        </w:rPr>
        <w:t xml:space="preserve">Finalmente, </w:t>
      </w:r>
      <w:r w:rsidR="00165A15">
        <w:rPr>
          <w:rFonts w:cs="Arial"/>
          <w:lang w:val="es-PE"/>
        </w:rPr>
        <w:t xml:space="preserve">el CEO de Credicorp </w:t>
      </w:r>
      <w:r>
        <w:rPr>
          <w:rFonts w:cs="Arial"/>
          <w:lang w:val="es-PE"/>
        </w:rPr>
        <w:t>señaló que e</w:t>
      </w:r>
      <w:r w:rsidRPr="00FC328B">
        <w:rPr>
          <w:rFonts w:cs="Arial"/>
          <w:lang w:val="es-PE"/>
        </w:rPr>
        <w:t xml:space="preserve">l año que viene estará lleno de desafíos y con volatilidad en el frente político. Sin embargo, </w:t>
      </w:r>
      <w:r w:rsidR="006D35CB">
        <w:rPr>
          <w:rFonts w:cs="Arial"/>
          <w:lang w:val="es-PE"/>
        </w:rPr>
        <w:t xml:space="preserve">aseguró que el Grupo, como ha hecho en el pasado, se </w:t>
      </w:r>
      <w:r w:rsidR="00165A15">
        <w:rPr>
          <w:rFonts w:cs="Arial"/>
          <w:lang w:val="es-PE"/>
        </w:rPr>
        <w:t>mantendr</w:t>
      </w:r>
      <w:r w:rsidR="006D35CB">
        <w:rPr>
          <w:rFonts w:cs="Arial"/>
          <w:lang w:val="es-PE"/>
        </w:rPr>
        <w:t>á</w:t>
      </w:r>
      <w:r w:rsidR="00165A15">
        <w:rPr>
          <w:rFonts w:cs="Arial"/>
          <w:lang w:val="es-PE"/>
        </w:rPr>
        <w:t xml:space="preserve"> enfocado </w:t>
      </w:r>
      <w:r w:rsidRPr="00FC328B">
        <w:rPr>
          <w:rFonts w:cs="Arial"/>
          <w:lang w:val="es-PE"/>
        </w:rPr>
        <w:t xml:space="preserve">en </w:t>
      </w:r>
      <w:r w:rsidR="006D35CB">
        <w:rPr>
          <w:rFonts w:cs="Arial"/>
          <w:lang w:val="es-PE"/>
        </w:rPr>
        <w:t xml:space="preserve">su </w:t>
      </w:r>
      <w:r w:rsidRPr="00FC328B">
        <w:rPr>
          <w:rFonts w:cs="Arial"/>
          <w:lang w:val="es-PE"/>
        </w:rPr>
        <w:t>misión y propósito.</w:t>
      </w:r>
    </w:p>
    <w:p w14:paraId="2EF6D0C5" w14:textId="4DB3D867" w:rsidR="00D6749B" w:rsidRPr="00165A15" w:rsidRDefault="00D6749B" w:rsidP="0031774D">
      <w:pPr>
        <w:jc w:val="both"/>
        <w:rPr>
          <w:rFonts w:cs="Arial"/>
          <w:lang w:val="es-PE"/>
        </w:rPr>
      </w:pPr>
    </w:p>
    <w:p w14:paraId="0781C229" w14:textId="77777777" w:rsidR="00D6749B" w:rsidRPr="00165A15" w:rsidRDefault="00D6749B" w:rsidP="0031774D">
      <w:pPr>
        <w:jc w:val="both"/>
        <w:rPr>
          <w:rFonts w:cs="Arial"/>
          <w:lang w:val="es-PE"/>
        </w:rPr>
      </w:pPr>
    </w:p>
    <w:p w14:paraId="5EB2DFE0" w14:textId="3F85988F" w:rsidR="00DE433F" w:rsidRPr="00354D15" w:rsidRDefault="00DE433F" w:rsidP="00E963B1">
      <w:pPr>
        <w:rPr>
          <w:rFonts w:cs="Arial"/>
          <w:b/>
          <w:lang w:val="es-PE"/>
        </w:rPr>
      </w:pPr>
      <w:r w:rsidRPr="00354D15">
        <w:rPr>
          <w:rFonts w:cs="Arial"/>
          <w:b/>
          <w:lang w:val="es-PE"/>
        </w:rPr>
        <w:t>Contacto con Prensa</w:t>
      </w:r>
    </w:p>
    <w:p w14:paraId="0A0FCE96" w14:textId="0D7254C2" w:rsidR="00577D97" w:rsidRPr="00354D15" w:rsidRDefault="00577D97" w:rsidP="00577D97">
      <w:pPr>
        <w:rPr>
          <w:rFonts w:eastAsiaTheme="minorEastAsia" w:cs="Arial"/>
          <w:b/>
          <w:noProof/>
          <w:sz w:val="22"/>
          <w:lang w:val="es-PE" w:eastAsia="es-PE"/>
        </w:rPr>
      </w:pPr>
      <w:r w:rsidRPr="00354D15">
        <w:rPr>
          <w:rFonts w:eastAsiaTheme="minorEastAsia" w:cs="Arial"/>
          <w:b/>
          <w:noProof/>
          <w:sz w:val="22"/>
          <w:lang w:val="es-PE" w:eastAsia="es-PE"/>
        </w:rPr>
        <w:t>Fernando Reyes Quincho</w:t>
      </w:r>
    </w:p>
    <w:p w14:paraId="1B750CD0" w14:textId="77777777" w:rsidR="00577D97" w:rsidRPr="00354D15" w:rsidRDefault="00577D97" w:rsidP="00577D97">
      <w:pPr>
        <w:rPr>
          <w:rFonts w:eastAsiaTheme="minorEastAsia" w:cs="Arial"/>
          <w:noProof/>
          <w:sz w:val="22"/>
          <w:lang w:val="es-PE" w:eastAsia="es-PE"/>
        </w:rPr>
      </w:pPr>
      <w:r w:rsidRPr="00354D15">
        <w:rPr>
          <w:rFonts w:eastAsiaTheme="minorEastAsia" w:cs="Arial"/>
          <w:noProof/>
          <w:sz w:val="22"/>
          <w:lang w:val="es-PE" w:eastAsia="es-PE"/>
        </w:rPr>
        <w:t xml:space="preserve">Comunicación Corporativa </w:t>
      </w:r>
    </w:p>
    <w:p w14:paraId="6B1F91B0" w14:textId="39E33297" w:rsidR="00577D97" w:rsidRPr="00354D15" w:rsidRDefault="00577D97" w:rsidP="00577D97">
      <w:pPr>
        <w:rPr>
          <w:rFonts w:eastAsiaTheme="minorEastAsia" w:cs="Arial"/>
          <w:noProof/>
          <w:sz w:val="22"/>
          <w:lang w:val="es-PE" w:eastAsia="es-PE"/>
        </w:rPr>
      </w:pPr>
      <w:r w:rsidRPr="00354D15">
        <w:rPr>
          <w:rFonts w:eastAsiaTheme="minorEastAsia" w:cs="Arial"/>
          <w:noProof/>
          <w:sz w:val="22"/>
          <w:lang w:val="es-PE" w:eastAsia="es-PE"/>
        </w:rPr>
        <w:t>51 99</w:t>
      </w:r>
      <w:r w:rsidR="00E13005" w:rsidRPr="00354D15">
        <w:rPr>
          <w:rFonts w:eastAsiaTheme="minorEastAsia" w:cs="Arial"/>
          <w:noProof/>
          <w:sz w:val="22"/>
          <w:lang w:val="es-PE" w:eastAsia="es-PE"/>
        </w:rPr>
        <w:t>9357399</w:t>
      </w:r>
    </w:p>
    <w:p w14:paraId="1A6DDC5B" w14:textId="46620944" w:rsidR="00577D97" w:rsidRDefault="00A471F2" w:rsidP="00577D97">
      <w:pPr>
        <w:rPr>
          <w:rStyle w:val="Hipervnculo"/>
          <w:rFonts w:ascii="Arial" w:eastAsiaTheme="minorEastAsia" w:hAnsi="Arial" w:cs="Arial"/>
          <w:noProof/>
          <w:sz w:val="22"/>
          <w:lang w:val="es-PE" w:eastAsia="es-PE"/>
        </w:rPr>
      </w:pPr>
      <w:hyperlink r:id="rId12" w:history="1">
        <w:r w:rsidR="00577D97" w:rsidRPr="00354D15">
          <w:rPr>
            <w:rStyle w:val="Hipervnculo"/>
            <w:rFonts w:ascii="Arial" w:eastAsiaTheme="minorEastAsia" w:hAnsi="Arial" w:cs="Arial"/>
            <w:noProof/>
            <w:sz w:val="22"/>
            <w:lang w:val="es-PE" w:eastAsia="es-PE"/>
          </w:rPr>
          <w:t>freyes@credicorpperu.com</w:t>
        </w:r>
      </w:hyperlink>
    </w:p>
    <w:sectPr w:rsidR="00577D97" w:rsidSect="00DF1A4C">
      <w:headerReference w:type="default" r:id="rId13"/>
      <w:footerReference w:type="default" r:id="rId14"/>
      <w:pgSz w:w="12240" w:h="15840" w:code="1"/>
      <w:pgMar w:top="1440" w:right="1440" w:bottom="1440" w:left="1440" w:header="505"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C130" w14:textId="77777777" w:rsidR="00A471F2" w:rsidRDefault="00A471F2" w:rsidP="005C307A">
      <w:r>
        <w:separator/>
      </w:r>
    </w:p>
  </w:endnote>
  <w:endnote w:type="continuationSeparator" w:id="0">
    <w:p w14:paraId="45E43FCB" w14:textId="77777777" w:rsidR="00A471F2" w:rsidRDefault="00A471F2" w:rsidP="005C307A">
      <w:r>
        <w:continuationSeparator/>
      </w:r>
    </w:p>
  </w:endnote>
  <w:endnote w:type="continuationNotice" w:id="1">
    <w:p w14:paraId="495ED956" w14:textId="77777777" w:rsidR="00A471F2" w:rsidRDefault="00A47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 STKaiti">
    <w:altName w:val="Microsoft YaHei"/>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2805" w14:textId="77777777" w:rsidR="004910D2" w:rsidRDefault="004910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C531C" w14:textId="77777777" w:rsidR="00A471F2" w:rsidRDefault="00A471F2" w:rsidP="005C307A">
      <w:r>
        <w:separator/>
      </w:r>
    </w:p>
  </w:footnote>
  <w:footnote w:type="continuationSeparator" w:id="0">
    <w:p w14:paraId="69D90BE8" w14:textId="77777777" w:rsidR="00A471F2" w:rsidRDefault="00A471F2" w:rsidP="005C307A">
      <w:r>
        <w:continuationSeparator/>
      </w:r>
    </w:p>
  </w:footnote>
  <w:footnote w:type="continuationNotice" w:id="1">
    <w:p w14:paraId="1BE72E17" w14:textId="77777777" w:rsidR="00A471F2" w:rsidRDefault="00A47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BDAA" w14:textId="77777777" w:rsidR="004910D2" w:rsidRDefault="004910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EFA"/>
    <w:multiLevelType w:val="hybridMultilevel"/>
    <w:tmpl w:val="894A51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843FF7"/>
    <w:multiLevelType w:val="multilevel"/>
    <w:tmpl w:val="3DAC799A"/>
    <w:lvl w:ilvl="0">
      <w:start w:val="1"/>
      <w:numFmt w:val="upperRoman"/>
      <w:suff w:val="nothing"/>
      <w:lvlText w:val="%1.  "/>
      <w:lvlJc w:val="left"/>
      <w:pPr>
        <w:ind w:left="0" w:firstLine="0"/>
      </w:pPr>
      <w:rPr>
        <w:rFonts w:ascii="Arial" w:hAnsi="Arial" w:hint="default"/>
      </w:rPr>
    </w:lvl>
    <w:lvl w:ilvl="1">
      <w:start w:val="1"/>
      <w:numFmt w:val="upperLetter"/>
      <w:suff w:val="nothing"/>
      <w:lvlText w:val="%2.  "/>
      <w:lvlJc w:val="left"/>
      <w:pPr>
        <w:ind w:left="0" w:firstLine="0"/>
      </w:pPr>
      <w:rPr>
        <w:rFonts w:hint="default"/>
      </w:rPr>
    </w:lvl>
    <w:lvl w:ilvl="2">
      <w:start w:val="1"/>
      <w:numFmt w:val="upperLetter"/>
      <w:lvlText w:val="%3."/>
      <w:lvlJc w:val="left"/>
      <w:pPr>
        <w:tabs>
          <w:tab w:val="num" w:pos="720"/>
        </w:tabs>
        <w:ind w:left="720" w:hanging="720"/>
      </w:pPr>
      <w:rPr>
        <w:rFonts w:hint="default"/>
      </w:rPr>
    </w:lvl>
    <w:lvl w:ilvl="3">
      <w:start w:val="1"/>
      <w:numFmt w:val="upperRoman"/>
      <w:suff w:val="nothing"/>
      <w:lvlText w:val="Exhibit %4:  "/>
      <w:lvlJc w:val="left"/>
      <w:pPr>
        <w:ind w:left="0" w:firstLine="0"/>
      </w:pPr>
      <w:rPr>
        <w:rFonts w:hint="default"/>
      </w:rPr>
    </w:lvl>
    <w:lvl w:ilvl="4">
      <w:start w:val="1"/>
      <w:numFmt w:val="decimal"/>
      <w:lvlText w:val="(%5)"/>
      <w:lvlJc w:val="left"/>
      <w:pPr>
        <w:tabs>
          <w:tab w:val="num" w:pos="1080"/>
        </w:tabs>
        <w:ind w:left="720" w:firstLine="0"/>
      </w:pPr>
      <w:rPr>
        <w:rFonts w:hint="default"/>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2" w15:restartNumberingAfterBreak="0">
    <w:nsid w:val="291547B5"/>
    <w:multiLevelType w:val="multilevel"/>
    <w:tmpl w:val="397EFB16"/>
    <w:lvl w:ilvl="0">
      <w:start w:val="1"/>
      <w:numFmt w:val="upperRoman"/>
      <w:pStyle w:val="Ttulo1"/>
      <w:lvlText w:val="%1."/>
      <w:lvlJc w:val="left"/>
      <w:pPr>
        <w:tabs>
          <w:tab w:val="num" w:pos="936"/>
        </w:tabs>
        <w:ind w:left="936" w:hanging="936"/>
      </w:pPr>
      <w:rPr>
        <w:rFonts w:ascii="Arial" w:hAnsi="Arial" w:hint="default"/>
      </w:rPr>
    </w:lvl>
    <w:lvl w:ilvl="1">
      <w:start w:val="1"/>
      <w:numFmt w:val="upperLetter"/>
      <w:lvlText w:val="%2."/>
      <w:lvlJc w:val="left"/>
      <w:pPr>
        <w:tabs>
          <w:tab w:val="num" w:pos="-1224"/>
        </w:tabs>
        <w:ind w:left="-1224" w:hanging="360"/>
      </w:pPr>
      <w:rPr>
        <w:rFonts w:hint="default"/>
      </w:rPr>
    </w:lvl>
    <w:lvl w:ilvl="2">
      <w:start w:val="1"/>
      <w:numFmt w:val="upperLetter"/>
      <w:lvlText w:val="%3."/>
      <w:lvlJc w:val="left"/>
      <w:pPr>
        <w:tabs>
          <w:tab w:val="num" w:pos="720"/>
        </w:tabs>
        <w:ind w:left="720" w:hanging="720"/>
      </w:pPr>
      <w:rPr>
        <w:rFonts w:hint="default"/>
      </w:rPr>
    </w:lvl>
    <w:lvl w:ilvl="3">
      <w:start w:val="1"/>
      <w:numFmt w:val="upperRoman"/>
      <w:suff w:val="nothing"/>
      <w:lvlText w:val="Exhibit %4:  "/>
      <w:lvlJc w:val="left"/>
      <w:pPr>
        <w:ind w:left="0" w:firstLine="0"/>
      </w:pPr>
      <w:rPr>
        <w:rFonts w:hint="default"/>
      </w:rPr>
    </w:lvl>
    <w:lvl w:ilvl="4">
      <w:start w:val="1"/>
      <w:numFmt w:val="decimal"/>
      <w:lvlText w:val="(%5)"/>
      <w:lvlJc w:val="left"/>
      <w:pPr>
        <w:tabs>
          <w:tab w:val="num" w:pos="1080"/>
        </w:tabs>
        <w:ind w:left="720" w:firstLine="0"/>
      </w:pPr>
      <w:rPr>
        <w:rFonts w:hint="default"/>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3" w15:restartNumberingAfterBreak="0">
    <w:nsid w:val="2FD11E43"/>
    <w:multiLevelType w:val="hybridMultilevel"/>
    <w:tmpl w:val="2B9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02DA"/>
    <w:multiLevelType w:val="hybridMultilevel"/>
    <w:tmpl w:val="17B0323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53454"/>
    <w:multiLevelType w:val="hybridMultilevel"/>
    <w:tmpl w:val="EDB03BE4"/>
    <w:lvl w:ilvl="0" w:tplc="8F2ABEE6">
      <w:start w:val="190"/>
      <w:numFmt w:val="bullet"/>
      <w:lvlText w:val="-"/>
      <w:lvlJc w:val="left"/>
      <w:pPr>
        <w:ind w:left="720" w:hanging="360"/>
      </w:pPr>
      <w:rPr>
        <w:rFonts w:ascii="Arial" w:eastAsia="SC STKait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F46764B"/>
    <w:multiLevelType w:val="hybridMultilevel"/>
    <w:tmpl w:val="9684E368"/>
    <w:lvl w:ilvl="0" w:tplc="43488486">
      <w:start w:val="1"/>
      <w:numFmt w:val="bullet"/>
      <w:lvlText w:val="-"/>
      <w:lvlJc w:val="left"/>
      <w:pPr>
        <w:ind w:left="786" w:hanging="360"/>
      </w:pPr>
      <w:rPr>
        <w:rFonts w:ascii="Arial" w:eastAsia="SC STKaiti" w:hAnsi="Arial" w:cs="Aria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52072F78"/>
    <w:multiLevelType w:val="multilevel"/>
    <w:tmpl w:val="F89C23E8"/>
    <w:lvl w:ilvl="0">
      <w:start w:val="1"/>
      <w:numFmt w:val="upperRoman"/>
      <w:lvlText w:val="%1."/>
      <w:lvlJc w:val="left"/>
      <w:pPr>
        <w:tabs>
          <w:tab w:val="num" w:pos="1080"/>
        </w:tabs>
        <w:ind w:left="720" w:hanging="720"/>
      </w:pPr>
      <w:rPr>
        <w:rFonts w:ascii="Arial" w:hAnsi="Arial" w:hint="default"/>
      </w:rPr>
    </w:lvl>
    <w:lvl w:ilvl="1">
      <w:start w:val="1"/>
      <w:numFmt w:val="none"/>
      <w:lvlText w:val="%2."/>
      <w:lvlJc w:val="left"/>
      <w:pPr>
        <w:tabs>
          <w:tab w:val="num" w:pos="720"/>
        </w:tabs>
        <w:ind w:left="0" w:firstLine="0"/>
      </w:pPr>
      <w:rPr>
        <w:rFonts w:hint="default"/>
      </w:rPr>
    </w:lvl>
    <w:lvl w:ilvl="2">
      <w:start w:val="1"/>
      <w:numFmt w:val="upperLetter"/>
      <w:pStyle w:val="Ttulo3"/>
      <w:lvlText w:val="Appendix %3:"/>
      <w:lvlJc w:val="left"/>
      <w:pPr>
        <w:tabs>
          <w:tab w:val="num" w:pos="2520"/>
        </w:tabs>
        <w:ind w:left="936" w:hanging="936"/>
      </w:pPr>
      <w:rPr>
        <w:rFonts w:hint="default"/>
      </w:rPr>
    </w:lvl>
    <w:lvl w:ilvl="3">
      <w:start w:val="1"/>
      <w:numFmt w:val="upperRoman"/>
      <w:suff w:val="nothing"/>
      <w:lvlText w:val="Exhibit %4:  "/>
      <w:lvlJc w:val="left"/>
      <w:pPr>
        <w:ind w:left="0" w:firstLine="0"/>
      </w:pPr>
      <w:rPr>
        <w:rFonts w:hint="default"/>
      </w:rPr>
    </w:lvl>
    <w:lvl w:ilvl="4">
      <w:start w:val="1"/>
      <w:numFmt w:val="decimal"/>
      <w:lvlText w:val="(%5)"/>
      <w:lvlJc w:val="left"/>
      <w:pPr>
        <w:tabs>
          <w:tab w:val="num" w:pos="1080"/>
        </w:tabs>
        <w:ind w:left="720" w:firstLine="0"/>
      </w:pPr>
      <w:rPr>
        <w:rFonts w:hint="default"/>
      </w:rPr>
    </w:lvl>
    <w:lvl w:ilvl="5">
      <w:start w:val="1"/>
      <w:numFmt w:val="lowerLetter"/>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8" w15:restartNumberingAfterBreak="0">
    <w:nsid w:val="5A390DC7"/>
    <w:multiLevelType w:val="multilevel"/>
    <w:tmpl w:val="592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292F4B"/>
    <w:multiLevelType w:val="hybridMultilevel"/>
    <w:tmpl w:val="C0F05F68"/>
    <w:lvl w:ilvl="0" w:tplc="A210C8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6DCE4D9C"/>
    <w:multiLevelType w:val="hybridMultilevel"/>
    <w:tmpl w:val="47588678"/>
    <w:lvl w:ilvl="0" w:tplc="0C0A001B">
      <w:start w:val="1"/>
      <w:numFmt w:val="lowerRoman"/>
      <w:lvlText w:val="%1."/>
      <w:lvlJc w:val="righ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77DD24DC"/>
    <w:multiLevelType w:val="hybridMultilevel"/>
    <w:tmpl w:val="9BFE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C15A77"/>
    <w:multiLevelType w:val="hybridMultilevel"/>
    <w:tmpl w:val="DECAAEF4"/>
    <w:lvl w:ilvl="0" w:tplc="12ACA36C">
      <w:start w:val="9"/>
      <w:numFmt w:val="bullet"/>
      <w:lvlText w:val="-"/>
      <w:lvlJc w:val="left"/>
      <w:pPr>
        <w:ind w:left="720" w:hanging="360"/>
      </w:pPr>
      <w:rPr>
        <w:rFonts w:ascii="Arial" w:eastAsia="SC STKait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7"/>
  </w:num>
  <w:num w:numId="5">
    <w:abstractNumId w:val="2"/>
  </w:num>
  <w:num w:numId="6">
    <w:abstractNumId w:val="7"/>
  </w:num>
  <w:num w:numId="7">
    <w:abstractNumId w:val="11"/>
  </w:num>
  <w:num w:numId="8">
    <w:abstractNumId w:val="0"/>
  </w:num>
  <w:num w:numId="9">
    <w:abstractNumId w:val="9"/>
  </w:num>
  <w:num w:numId="10">
    <w:abstractNumId w:val="10"/>
  </w:num>
  <w:num w:numId="11">
    <w:abstractNumId w:val="6"/>
  </w:num>
  <w:num w:numId="12">
    <w:abstractNumId w:val="4"/>
  </w:num>
  <w:num w:numId="13">
    <w:abstractNumId w:val="3"/>
  </w:num>
  <w:num w:numId="14">
    <w:abstractNumId w:val="12"/>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A3"/>
    <w:rsid w:val="00010A15"/>
    <w:rsid w:val="00011FD4"/>
    <w:rsid w:val="00016AEA"/>
    <w:rsid w:val="00017934"/>
    <w:rsid w:val="00023EB8"/>
    <w:rsid w:val="00036C60"/>
    <w:rsid w:val="00042B03"/>
    <w:rsid w:val="00053676"/>
    <w:rsid w:val="000618FF"/>
    <w:rsid w:val="00063BFC"/>
    <w:rsid w:val="00070810"/>
    <w:rsid w:val="0007105E"/>
    <w:rsid w:val="000723DE"/>
    <w:rsid w:val="00073505"/>
    <w:rsid w:val="000755C7"/>
    <w:rsid w:val="00081D5B"/>
    <w:rsid w:val="00084412"/>
    <w:rsid w:val="00085037"/>
    <w:rsid w:val="00092BDD"/>
    <w:rsid w:val="000961D5"/>
    <w:rsid w:val="000A15BB"/>
    <w:rsid w:val="000A19C6"/>
    <w:rsid w:val="000A1E1C"/>
    <w:rsid w:val="000B72CB"/>
    <w:rsid w:val="000C20F2"/>
    <w:rsid w:val="000C31EA"/>
    <w:rsid w:val="000C5C40"/>
    <w:rsid w:val="000D31AF"/>
    <w:rsid w:val="000D77B0"/>
    <w:rsid w:val="000D7E98"/>
    <w:rsid w:val="000E2708"/>
    <w:rsid w:val="000E5EAD"/>
    <w:rsid w:val="000E6FC7"/>
    <w:rsid w:val="000F1E51"/>
    <w:rsid w:val="000F39CD"/>
    <w:rsid w:val="000F5831"/>
    <w:rsid w:val="000F6485"/>
    <w:rsid w:val="000F692E"/>
    <w:rsid w:val="00101693"/>
    <w:rsid w:val="00101B59"/>
    <w:rsid w:val="00121EE0"/>
    <w:rsid w:val="00131053"/>
    <w:rsid w:val="00134F86"/>
    <w:rsid w:val="00136011"/>
    <w:rsid w:val="00142142"/>
    <w:rsid w:val="00150B44"/>
    <w:rsid w:val="00165A15"/>
    <w:rsid w:val="00170681"/>
    <w:rsid w:val="001727E0"/>
    <w:rsid w:val="00186B46"/>
    <w:rsid w:val="00190DB0"/>
    <w:rsid w:val="00191C6E"/>
    <w:rsid w:val="0019568B"/>
    <w:rsid w:val="00195E20"/>
    <w:rsid w:val="001976BD"/>
    <w:rsid w:val="001976EC"/>
    <w:rsid w:val="001A2B78"/>
    <w:rsid w:val="001A6006"/>
    <w:rsid w:val="001A7EDC"/>
    <w:rsid w:val="001B564B"/>
    <w:rsid w:val="001C1D5A"/>
    <w:rsid w:val="001C2C19"/>
    <w:rsid w:val="001C4D46"/>
    <w:rsid w:val="001D2C9F"/>
    <w:rsid w:val="001D4DA5"/>
    <w:rsid w:val="001D5D7B"/>
    <w:rsid w:val="001D7019"/>
    <w:rsid w:val="001E09A8"/>
    <w:rsid w:val="001E397F"/>
    <w:rsid w:val="001E6978"/>
    <w:rsid w:val="001E6EA5"/>
    <w:rsid w:val="001F1F61"/>
    <w:rsid w:val="001F2BCF"/>
    <w:rsid w:val="001F6E90"/>
    <w:rsid w:val="0021416A"/>
    <w:rsid w:val="00214D88"/>
    <w:rsid w:val="00220E7C"/>
    <w:rsid w:val="00227A06"/>
    <w:rsid w:val="00230138"/>
    <w:rsid w:val="0023063D"/>
    <w:rsid w:val="00230D4E"/>
    <w:rsid w:val="002431A5"/>
    <w:rsid w:val="00253B77"/>
    <w:rsid w:val="00255038"/>
    <w:rsid w:val="00256CA2"/>
    <w:rsid w:val="00260A94"/>
    <w:rsid w:val="00262571"/>
    <w:rsid w:val="0026543C"/>
    <w:rsid w:val="00265D78"/>
    <w:rsid w:val="002725F8"/>
    <w:rsid w:val="0027700B"/>
    <w:rsid w:val="00280B48"/>
    <w:rsid w:val="00281878"/>
    <w:rsid w:val="002826D9"/>
    <w:rsid w:val="00284150"/>
    <w:rsid w:val="002901BB"/>
    <w:rsid w:val="00291ECC"/>
    <w:rsid w:val="002A2CF2"/>
    <w:rsid w:val="002A5495"/>
    <w:rsid w:val="002B36B9"/>
    <w:rsid w:val="002B743A"/>
    <w:rsid w:val="002C2679"/>
    <w:rsid w:val="002C55CE"/>
    <w:rsid w:val="002D063C"/>
    <w:rsid w:val="002D2EB9"/>
    <w:rsid w:val="002D5B39"/>
    <w:rsid w:val="002E0004"/>
    <w:rsid w:val="002E1531"/>
    <w:rsid w:val="002E185D"/>
    <w:rsid w:val="002E2362"/>
    <w:rsid w:val="002E5EEF"/>
    <w:rsid w:val="002F2023"/>
    <w:rsid w:val="002F39AB"/>
    <w:rsid w:val="002F4E8F"/>
    <w:rsid w:val="003034E1"/>
    <w:rsid w:val="003055B0"/>
    <w:rsid w:val="003105C8"/>
    <w:rsid w:val="003138CE"/>
    <w:rsid w:val="0031774D"/>
    <w:rsid w:val="003233C5"/>
    <w:rsid w:val="003279FB"/>
    <w:rsid w:val="00332626"/>
    <w:rsid w:val="00333AC7"/>
    <w:rsid w:val="00335CD3"/>
    <w:rsid w:val="00345025"/>
    <w:rsid w:val="003451E6"/>
    <w:rsid w:val="003460F7"/>
    <w:rsid w:val="00347004"/>
    <w:rsid w:val="003475E2"/>
    <w:rsid w:val="00354C7A"/>
    <w:rsid w:val="00354D15"/>
    <w:rsid w:val="00362827"/>
    <w:rsid w:val="00362A95"/>
    <w:rsid w:val="00371831"/>
    <w:rsid w:val="00374C87"/>
    <w:rsid w:val="003769EA"/>
    <w:rsid w:val="00382E2C"/>
    <w:rsid w:val="003875AA"/>
    <w:rsid w:val="00393755"/>
    <w:rsid w:val="00394DCA"/>
    <w:rsid w:val="003978A8"/>
    <w:rsid w:val="003A460B"/>
    <w:rsid w:val="003B0BF2"/>
    <w:rsid w:val="003B1543"/>
    <w:rsid w:val="003B3F85"/>
    <w:rsid w:val="003B41AE"/>
    <w:rsid w:val="003C25C1"/>
    <w:rsid w:val="003C384E"/>
    <w:rsid w:val="003C55E0"/>
    <w:rsid w:val="003C5823"/>
    <w:rsid w:val="003D3E6A"/>
    <w:rsid w:val="003F6252"/>
    <w:rsid w:val="003F777A"/>
    <w:rsid w:val="004015DC"/>
    <w:rsid w:val="00401DB1"/>
    <w:rsid w:val="00406371"/>
    <w:rsid w:val="0041507F"/>
    <w:rsid w:val="00415CF5"/>
    <w:rsid w:val="00420A4A"/>
    <w:rsid w:val="00424E2C"/>
    <w:rsid w:val="00426385"/>
    <w:rsid w:val="004302A6"/>
    <w:rsid w:val="00432BE0"/>
    <w:rsid w:val="00433DCD"/>
    <w:rsid w:val="0044746D"/>
    <w:rsid w:val="00447C5C"/>
    <w:rsid w:val="00452BF5"/>
    <w:rsid w:val="00455F42"/>
    <w:rsid w:val="00471867"/>
    <w:rsid w:val="00472771"/>
    <w:rsid w:val="0047498A"/>
    <w:rsid w:val="00474D4C"/>
    <w:rsid w:val="0047523C"/>
    <w:rsid w:val="00476ED8"/>
    <w:rsid w:val="00481681"/>
    <w:rsid w:val="0048399B"/>
    <w:rsid w:val="0048445A"/>
    <w:rsid w:val="00486215"/>
    <w:rsid w:val="004910D2"/>
    <w:rsid w:val="004A0899"/>
    <w:rsid w:val="004A419E"/>
    <w:rsid w:val="004B4D69"/>
    <w:rsid w:val="004B713A"/>
    <w:rsid w:val="004C07AD"/>
    <w:rsid w:val="004C0A54"/>
    <w:rsid w:val="004C27F4"/>
    <w:rsid w:val="004C3538"/>
    <w:rsid w:val="004C47C0"/>
    <w:rsid w:val="004C6ECF"/>
    <w:rsid w:val="004D01BA"/>
    <w:rsid w:val="004D0B4A"/>
    <w:rsid w:val="004D79A5"/>
    <w:rsid w:val="004E0BAC"/>
    <w:rsid w:val="004E3749"/>
    <w:rsid w:val="004E4DED"/>
    <w:rsid w:val="004F1E59"/>
    <w:rsid w:val="004F23BE"/>
    <w:rsid w:val="004F5E7F"/>
    <w:rsid w:val="004F63F7"/>
    <w:rsid w:val="00510D3B"/>
    <w:rsid w:val="00513878"/>
    <w:rsid w:val="005203FE"/>
    <w:rsid w:val="0052293E"/>
    <w:rsid w:val="005251C1"/>
    <w:rsid w:val="00527247"/>
    <w:rsid w:val="005300F3"/>
    <w:rsid w:val="005320C4"/>
    <w:rsid w:val="00532501"/>
    <w:rsid w:val="0053293C"/>
    <w:rsid w:val="00532DBC"/>
    <w:rsid w:val="00542CE9"/>
    <w:rsid w:val="00551296"/>
    <w:rsid w:val="00564F4E"/>
    <w:rsid w:val="0056568D"/>
    <w:rsid w:val="0056669D"/>
    <w:rsid w:val="00577D97"/>
    <w:rsid w:val="00584151"/>
    <w:rsid w:val="0058701C"/>
    <w:rsid w:val="0059282C"/>
    <w:rsid w:val="00592B4E"/>
    <w:rsid w:val="005932BD"/>
    <w:rsid w:val="0059599B"/>
    <w:rsid w:val="005A35C9"/>
    <w:rsid w:val="005B42CF"/>
    <w:rsid w:val="005C01A1"/>
    <w:rsid w:val="005C307A"/>
    <w:rsid w:val="005C3ABD"/>
    <w:rsid w:val="005C44FC"/>
    <w:rsid w:val="005C4CB5"/>
    <w:rsid w:val="005C509F"/>
    <w:rsid w:val="005C79E9"/>
    <w:rsid w:val="005E00CF"/>
    <w:rsid w:val="005E53F0"/>
    <w:rsid w:val="005F78D3"/>
    <w:rsid w:val="00604858"/>
    <w:rsid w:val="0060700F"/>
    <w:rsid w:val="006076DC"/>
    <w:rsid w:val="00613905"/>
    <w:rsid w:val="00621800"/>
    <w:rsid w:val="00626AE9"/>
    <w:rsid w:val="00627D6D"/>
    <w:rsid w:val="006340B3"/>
    <w:rsid w:val="00636965"/>
    <w:rsid w:val="00645929"/>
    <w:rsid w:val="00651FB1"/>
    <w:rsid w:val="0065638C"/>
    <w:rsid w:val="00663878"/>
    <w:rsid w:val="006643CE"/>
    <w:rsid w:val="00666E2B"/>
    <w:rsid w:val="00670C11"/>
    <w:rsid w:val="00670F18"/>
    <w:rsid w:val="00680257"/>
    <w:rsid w:val="006956E4"/>
    <w:rsid w:val="006A46D9"/>
    <w:rsid w:val="006A5183"/>
    <w:rsid w:val="006A71FE"/>
    <w:rsid w:val="006B1C55"/>
    <w:rsid w:val="006B38C8"/>
    <w:rsid w:val="006C32EB"/>
    <w:rsid w:val="006C3F50"/>
    <w:rsid w:val="006D2140"/>
    <w:rsid w:val="006D35CB"/>
    <w:rsid w:val="006D4D42"/>
    <w:rsid w:val="006E42EF"/>
    <w:rsid w:val="006E503D"/>
    <w:rsid w:val="006E6259"/>
    <w:rsid w:val="006F1C92"/>
    <w:rsid w:val="006F5425"/>
    <w:rsid w:val="006F65DE"/>
    <w:rsid w:val="00702E50"/>
    <w:rsid w:val="00703F57"/>
    <w:rsid w:val="007044AA"/>
    <w:rsid w:val="00707362"/>
    <w:rsid w:val="00711024"/>
    <w:rsid w:val="00722552"/>
    <w:rsid w:val="00731025"/>
    <w:rsid w:val="00737CA9"/>
    <w:rsid w:val="00740AF5"/>
    <w:rsid w:val="007458D4"/>
    <w:rsid w:val="00745FC2"/>
    <w:rsid w:val="00746A70"/>
    <w:rsid w:val="007505F1"/>
    <w:rsid w:val="0075399A"/>
    <w:rsid w:val="00756D02"/>
    <w:rsid w:val="00765586"/>
    <w:rsid w:val="00765745"/>
    <w:rsid w:val="0076771B"/>
    <w:rsid w:val="00770062"/>
    <w:rsid w:val="0077401A"/>
    <w:rsid w:val="00774D1F"/>
    <w:rsid w:val="00774F67"/>
    <w:rsid w:val="00776B99"/>
    <w:rsid w:val="00777B84"/>
    <w:rsid w:val="00780060"/>
    <w:rsid w:val="007842BE"/>
    <w:rsid w:val="0079025B"/>
    <w:rsid w:val="00791C18"/>
    <w:rsid w:val="00793068"/>
    <w:rsid w:val="007B1D9B"/>
    <w:rsid w:val="007B64D4"/>
    <w:rsid w:val="007B7DC1"/>
    <w:rsid w:val="007C1ED9"/>
    <w:rsid w:val="007C5395"/>
    <w:rsid w:val="007D50EF"/>
    <w:rsid w:val="007D77B0"/>
    <w:rsid w:val="007E33C1"/>
    <w:rsid w:val="007F419D"/>
    <w:rsid w:val="007F476E"/>
    <w:rsid w:val="007F64DB"/>
    <w:rsid w:val="00802A8C"/>
    <w:rsid w:val="0080464B"/>
    <w:rsid w:val="008119A9"/>
    <w:rsid w:val="008122D3"/>
    <w:rsid w:val="008208E0"/>
    <w:rsid w:val="0082623F"/>
    <w:rsid w:val="008271D0"/>
    <w:rsid w:val="0083092F"/>
    <w:rsid w:val="00833817"/>
    <w:rsid w:val="008412E5"/>
    <w:rsid w:val="00847BC7"/>
    <w:rsid w:val="00851333"/>
    <w:rsid w:val="008651A5"/>
    <w:rsid w:val="008663F7"/>
    <w:rsid w:val="00866C5C"/>
    <w:rsid w:val="00870375"/>
    <w:rsid w:val="00883762"/>
    <w:rsid w:val="008841A3"/>
    <w:rsid w:val="008975B3"/>
    <w:rsid w:val="008A2213"/>
    <w:rsid w:val="008A481D"/>
    <w:rsid w:val="008C4AB9"/>
    <w:rsid w:val="008C58F1"/>
    <w:rsid w:val="008C5A22"/>
    <w:rsid w:val="008C6062"/>
    <w:rsid w:val="008D4835"/>
    <w:rsid w:val="008E54C2"/>
    <w:rsid w:val="008E5786"/>
    <w:rsid w:val="008E5DAC"/>
    <w:rsid w:val="008E6575"/>
    <w:rsid w:val="008F1A95"/>
    <w:rsid w:val="008F4939"/>
    <w:rsid w:val="00905359"/>
    <w:rsid w:val="009053B0"/>
    <w:rsid w:val="00905659"/>
    <w:rsid w:val="00906A2F"/>
    <w:rsid w:val="00921753"/>
    <w:rsid w:val="00926328"/>
    <w:rsid w:val="00933D04"/>
    <w:rsid w:val="00933D8C"/>
    <w:rsid w:val="00936F60"/>
    <w:rsid w:val="009453D8"/>
    <w:rsid w:val="009511D9"/>
    <w:rsid w:val="00957B2F"/>
    <w:rsid w:val="00961950"/>
    <w:rsid w:val="00976B8D"/>
    <w:rsid w:val="00977644"/>
    <w:rsid w:val="00983626"/>
    <w:rsid w:val="00985DC4"/>
    <w:rsid w:val="0099650D"/>
    <w:rsid w:val="00997191"/>
    <w:rsid w:val="009A0ED8"/>
    <w:rsid w:val="009A159D"/>
    <w:rsid w:val="009A1D40"/>
    <w:rsid w:val="009B40AF"/>
    <w:rsid w:val="009B62F9"/>
    <w:rsid w:val="009C3EE0"/>
    <w:rsid w:val="009D1F16"/>
    <w:rsid w:val="009D4A59"/>
    <w:rsid w:val="009D6ED2"/>
    <w:rsid w:val="009E5F03"/>
    <w:rsid w:val="009E6666"/>
    <w:rsid w:val="009E6FDE"/>
    <w:rsid w:val="009E7BC4"/>
    <w:rsid w:val="00A004F0"/>
    <w:rsid w:val="00A017E1"/>
    <w:rsid w:val="00A023AB"/>
    <w:rsid w:val="00A032BA"/>
    <w:rsid w:val="00A04D89"/>
    <w:rsid w:val="00A10A14"/>
    <w:rsid w:val="00A1341D"/>
    <w:rsid w:val="00A20074"/>
    <w:rsid w:val="00A21699"/>
    <w:rsid w:val="00A2311F"/>
    <w:rsid w:val="00A2503F"/>
    <w:rsid w:val="00A34498"/>
    <w:rsid w:val="00A35526"/>
    <w:rsid w:val="00A355B2"/>
    <w:rsid w:val="00A363D3"/>
    <w:rsid w:val="00A471F2"/>
    <w:rsid w:val="00A513A4"/>
    <w:rsid w:val="00A54EA5"/>
    <w:rsid w:val="00A6176E"/>
    <w:rsid w:val="00A629C4"/>
    <w:rsid w:val="00A7067C"/>
    <w:rsid w:val="00A71465"/>
    <w:rsid w:val="00A73DB7"/>
    <w:rsid w:val="00A86B4B"/>
    <w:rsid w:val="00A91974"/>
    <w:rsid w:val="00A9219A"/>
    <w:rsid w:val="00A93B7F"/>
    <w:rsid w:val="00AA10A0"/>
    <w:rsid w:val="00AB0C56"/>
    <w:rsid w:val="00AB1B4A"/>
    <w:rsid w:val="00AD011C"/>
    <w:rsid w:val="00AE0881"/>
    <w:rsid w:val="00AE4145"/>
    <w:rsid w:val="00AE425F"/>
    <w:rsid w:val="00AF44A1"/>
    <w:rsid w:val="00B01C5B"/>
    <w:rsid w:val="00B054F9"/>
    <w:rsid w:val="00B11325"/>
    <w:rsid w:val="00B126F0"/>
    <w:rsid w:val="00B150F2"/>
    <w:rsid w:val="00B177CA"/>
    <w:rsid w:val="00B2314F"/>
    <w:rsid w:val="00B2451C"/>
    <w:rsid w:val="00B31EAA"/>
    <w:rsid w:val="00B326E9"/>
    <w:rsid w:val="00B40348"/>
    <w:rsid w:val="00B4389C"/>
    <w:rsid w:val="00B443A7"/>
    <w:rsid w:val="00B56138"/>
    <w:rsid w:val="00B57F5F"/>
    <w:rsid w:val="00B60220"/>
    <w:rsid w:val="00B603C9"/>
    <w:rsid w:val="00B66CE1"/>
    <w:rsid w:val="00B77F34"/>
    <w:rsid w:val="00B83CFF"/>
    <w:rsid w:val="00B90943"/>
    <w:rsid w:val="00B9214F"/>
    <w:rsid w:val="00B97748"/>
    <w:rsid w:val="00BA2F54"/>
    <w:rsid w:val="00BA39F9"/>
    <w:rsid w:val="00BB0A11"/>
    <w:rsid w:val="00BB32C5"/>
    <w:rsid w:val="00BB37C0"/>
    <w:rsid w:val="00BB59BA"/>
    <w:rsid w:val="00BC0A55"/>
    <w:rsid w:val="00BC34F6"/>
    <w:rsid w:val="00BD58AD"/>
    <w:rsid w:val="00BD61B6"/>
    <w:rsid w:val="00BD66EE"/>
    <w:rsid w:val="00BE1BC4"/>
    <w:rsid w:val="00BE6221"/>
    <w:rsid w:val="00BE6DE3"/>
    <w:rsid w:val="00BE7C77"/>
    <w:rsid w:val="00BF4337"/>
    <w:rsid w:val="00BF48CB"/>
    <w:rsid w:val="00BF69E2"/>
    <w:rsid w:val="00C01B36"/>
    <w:rsid w:val="00C02543"/>
    <w:rsid w:val="00C15F6E"/>
    <w:rsid w:val="00C215B2"/>
    <w:rsid w:val="00C341F2"/>
    <w:rsid w:val="00C35E47"/>
    <w:rsid w:val="00C56D9B"/>
    <w:rsid w:val="00C656F3"/>
    <w:rsid w:val="00C71A29"/>
    <w:rsid w:val="00C73A9E"/>
    <w:rsid w:val="00C74288"/>
    <w:rsid w:val="00C84EB5"/>
    <w:rsid w:val="00CA0052"/>
    <w:rsid w:val="00CA11BD"/>
    <w:rsid w:val="00CA3A33"/>
    <w:rsid w:val="00CB15F7"/>
    <w:rsid w:val="00CB64FF"/>
    <w:rsid w:val="00CC1830"/>
    <w:rsid w:val="00CC69FD"/>
    <w:rsid w:val="00CC6DF8"/>
    <w:rsid w:val="00CD1238"/>
    <w:rsid w:val="00CD37D1"/>
    <w:rsid w:val="00CD734A"/>
    <w:rsid w:val="00CE050B"/>
    <w:rsid w:val="00CE520E"/>
    <w:rsid w:val="00CF02A8"/>
    <w:rsid w:val="00CF0B01"/>
    <w:rsid w:val="00CF4DC4"/>
    <w:rsid w:val="00CF6C16"/>
    <w:rsid w:val="00CF7A1D"/>
    <w:rsid w:val="00D07A20"/>
    <w:rsid w:val="00D12272"/>
    <w:rsid w:val="00D14110"/>
    <w:rsid w:val="00D142D1"/>
    <w:rsid w:val="00D1537B"/>
    <w:rsid w:val="00D20B0B"/>
    <w:rsid w:val="00D2224C"/>
    <w:rsid w:val="00D2315D"/>
    <w:rsid w:val="00D272FC"/>
    <w:rsid w:val="00D34618"/>
    <w:rsid w:val="00D40FD5"/>
    <w:rsid w:val="00D4141F"/>
    <w:rsid w:val="00D43092"/>
    <w:rsid w:val="00D505B0"/>
    <w:rsid w:val="00D50C8B"/>
    <w:rsid w:val="00D50FEA"/>
    <w:rsid w:val="00D6359A"/>
    <w:rsid w:val="00D67163"/>
    <w:rsid w:val="00D6749B"/>
    <w:rsid w:val="00D674BC"/>
    <w:rsid w:val="00D67984"/>
    <w:rsid w:val="00D8306F"/>
    <w:rsid w:val="00D83E12"/>
    <w:rsid w:val="00D863F0"/>
    <w:rsid w:val="00D927E3"/>
    <w:rsid w:val="00D96E6F"/>
    <w:rsid w:val="00DA55F1"/>
    <w:rsid w:val="00DB08D4"/>
    <w:rsid w:val="00DB27ED"/>
    <w:rsid w:val="00DB4726"/>
    <w:rsid w:val="00DC0940"/>
    <w:rsid w:val="00DC3504"/>
    <w:rsid w:val="00DC4725"/>
    <w:rsid w:val="00DC74AF"/>
    <w:rsid w:val="00DE433F"/>
    <w:rsid w:val="00DE5414"/>
    <w:rsid w:val="00DE5876"/>
    <w:rsid w:val="00DF1A4C"/>
    <w:rsid w:val="00DF5929"/>
    <w:rsid w:val="00E055A2"/>
    <w:rsid w:val="00E05A75"/>
    <w:rsid w:val="00E101DA"/>
    <w:rsid w:val="00E13005"/>
    <w:rsid w:val="00E17A9C"/>
    <w:rsid w:val="00E26268"/>
    <w:rsid w:val="00E3051C"/>
    <w:rsid w:val="00E4056D"/>
    <w:rsid w:val="00E43E64"/>
    <w:rsid w:val="00E447E6"/>
    <w:rsid w:val="00E4657C"/>
    <w:rsid w:val="00E46D1D"/>
    <w:rsid w:val="00E57849"/>
    <w:rsid w:val="00E60904"/>
    <w:rsid w:val="00E62A41"/>
    <w:rsid w:val="00E71F06"/>
    <w:rsid w:val="00E72A66"/>
    <w:rsid w:val="00E73A62"/>
    <w:rsid w:val="00E75926"/>
    <w:rsid w:val="00E83F41"/>
    <w:rsid w:val="00E9044B"/>
    <w:rsid w:val="00E913CB"/>
    <w:rsid w:val="00E9479E"/>
    <w:rsid w:val="00E963B1"/>
    <w:rsid w:val="00EA029F"/>
    <w:rsid w:val="00EA249B"/>
    <w:rsid w:val="00EA6E96"/>
    <w:rsid w:val="00EA74EE"/>
    <w:rsid w:val="00EB0DAF"/>
    <w:rsid w:val="00EB37E9"/>
    <w:rsid w:val="00EB5AB1"/>
    <w:rsid w:val="00EB5F97"/>
    <w:rsid w:val="00EC0978"/>
    <w:rsid w:val="00EC0D68"/>
    <w:rsid w:val="00EC2879"/>
    <w:rsid w:val="00EC3A17"/>
    <w:rsid w:val="00EC47A0"/>
    <w:rsid w:val="00EC4B46"/>
    <w:rsid w:val="00ED40A0"/>
    <w:rsid w:val="00ED6299"/>
    <w:rsid w:val="00EE3FBA"/>
    <w:rsid w:val="00EF21C2"/>
    <w:rsid w:val="00EF59FB"/>
    <w:rsid w:val="00F03600"/>
    <w:rsid w:val="00F04195"/>
    <w:rsid w:val="00F054CE"/>
    <w:rsid w:val="00F14533"/>
    <w:rsid w:val="00F16F4B"/>
    <w:rsid w:val="00F24982"/>
    <w:rsid w:val="00F24C8F"/>
    <w:rsid w:val="00F310E0"/>
    <w:rsid w:val="00F32FCE"/>
    <w:rsid w:val="00F37A72"/>
    <w:rsid w:val="00F54625"/>
    <w:rsid w:val="00F546D4"/>
    <w:rsid w:val="00F6358C"/>
    <w:rsid w:val="00F83F35"/>
    <w:rsid w:val="00F862D6"/>
    <w:rsid w:val="00F8660A"/>
    <w:rsid w:val="00F934DC"/>
    <w:rsid w:val="00F94555"/>
    <w:rsid w:val="00FA01DD"/>
    <w:rsid w:val="00FA0BED"/>
    <w:rsid w:val="00FB5359"/>
    <w:rsid w:val="00FB6FEB"/>
    <w:rsid w:val="00FC0941"/>
    <w:rsid w:val="00FC328B"/>
    <w:rsid w:val="00FC3AF6"/>
    <w:rsid w:val="00FC488A"/>
    <w:rsid w:val="00FC4DC1"/>
    <w:rsid w:val="00FD0654"/>
    <w:rsid w:val="00FD44DC"/>
    <w:rsid w:val="00FD633B"/>
    <w:rsid w:val="00FE28CF"/>
    <w:rsid w:val="00FF2AF5"/>
    <w:rsid w:val="00FF5CA3"/>
    <w:rsid w:val="105E2F0E"/>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64B9810"/>
  <w15:docId w15:val="{D075EE0D-E19A-45AB-87A4-13BA293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A3"/>
    <w:rPr>
      <w:rFonts w:ascii="Arial" w:eastAsia="SC STKaiti" w:hAnsi="Arial"/>
      <w:sz w:val="24"/>
      <w:szCs w:val="24"/>
    </w:rPr>
  </w:style>
  <w:style w:type="paragraph" w:styleId="Ttulo1">
    <w:name w:val="heading 1"/>
    <w:basedOn w:val="Normal"/>
    <w:next w:val="Ttulo2"/>
    <w:link w:val="Ttulo1Car"/>
    <w:qFormat/>
    <w:rsid w:val="008841A3"/>
    <w:pPr>
      <w:keepNext/>
      <w:pageBreakBefore/>
      <w:numPr>
        <w:numId w:val="5"/>
      </w:numPr>
      <w:spacing w:before="3120"/>
      <w:outlineLvl w:val="0"/>
    </w:pPr>
    <w:rPr>
      <w:b/>
      <w:bCs/>
      <w:color w:val="000080"/>
      <w:kern w:val="32"/>
      <w:sz w:val="44"/>
      <w:szCs w:val="32"/>
    </w:rPr>
  </w:style>
  <w:style w:type="paragraph" w:styleId="Ttulo2">
    <w:name w:val="heading 2"/>
    <w:basedOn w:val="Normal"/>
    <w:next w:val="Subheading"/>
    <w:link w:val="Ttulo2Car"/>
    <w:qFormat/>
    <w:rsid w:val="008841A3"/>
    <w:pPr>
      <w:keepNext/>
      <w:pageBreakBefore/>
      <w:outlineLvl w:val="1"/>
    </w:pPr>
    <w:rPr>
      <w:b/>
      <w:bCs/>
      <w:iCs/>
      <w:color w:val="000080"/>
      <w:sz w:val="44"/>
      <w:szCs w:val="28"/>
    </w:rPr>
  </w:style>
  <w:style w:type="paragraph" w:styleId="Ttulo3">
    <w:name w:val="heading 3"/>
    <w:basedOn w:val="Ttulo1"/>
    <w:next w:val="Ttulo2"/>
    <w:link w:val="Ttulo3Car"/>
    <w:qFormat/>
    <w:rsid w:val="008841A3"/>
    <w:pPr>
      <w:numPr>
        <w:ilvl w:val="2"/>
        <w:numId w:val="6"/>
      </w:numPr>
      <w:tabs>
        <w:tab w:val="left" w:pos="2880"/>
      </w:tabs>
      <w:outlineLvl w:val="2"/>
    </w:pPr>
    <w:rPr>
      <w:bCs w:val="0"/>
      <w:szCs w:val="26"/>
    </w:rPr>
  </w:style>
  <w:style w:type="paragraph" w:styleId="Ttulo4">
    <w:name w:val="heading 4"/>
    <w:basedOn w:val="Subheading"/>
    <w:next w:val="Line"/>
    <w:link w:val="Ttulo4Car"/>
    <w:qFormat/>
    <w:rsid w:val="008841A3"/>
    <w:pPr>
      <w:outlineLvl w:val="3"/>
    </w:pPr>
    <w:rPr>
      <w:bCs/>
    </w:rPr>
  </w:style>
  <w:style w:type="paragraph" w:styleId="Ttulo5">
    <w:name w:val="heading 5"/>
    <w:basedOn w:val="Normal"/>
    <w:next w:val="Normal"/>
    <w:link w:val="Ttulo5Car"/>
    <w:qFormat/>
    <w:rsid w:val="008841A3"/>
    <w:pPr>
      <w:spacing w:before="240" w:after="60"/>
      <w:outlineLvl w:val="4"/>
    </w:pPr>
    <w:rPr>
      <w:b/>
      <w:bCs/>
      <w:i/>
      <w:iCs/>
      <w:sz w:val="26"/>
      <w:szCs w:val="26"/>
    </w:rPr>
  </w:style>
  <w:style w:type="paragraph" w:styleId="Ttulo6">
    <w:name w:val="heading 6"/>
    <w:basedOn w:val="Normal"/>
    <w:next w:val="Normal"/>
    <w:link w:val="Ttulo6Car"/>
    <w:qFormat/>
    <w:rsid w:val="008841A3"/>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8841A3"/>
    <w:pPr>
      <w:spacing w:before="240" w:after="60"/>
      <w:outlineLvl w:val="6"/>
    </w:pPr>
    <w:rPr>
      <w:rFonts w:ascii="Times New Roman" w:hAnsi="Times New Roman"/>
    </w:rPr>
  </w:style>
  <w:style w:type="paragraph" w:styleId="Ttulo8">
    <w:name w:val="heading 8"/>
    <w:aliases w:val="Appendix"/>
    <w:basedOn w:val="Normal"/>
    <w:next w:val="Normal"/>
    <w:link w:val="Ttulo8Car"/>
    <w:qFormat/>
    <w:rsid w:val="008841A3"/>
    <w:pPr>
      <w:spacing w:before="240" w:after="60"/>
      <w:outlineLvl w:val="7"/>
    </w:pPr>
    <w:rPr>
      <w:rFonts w:ascii="Times New Roman" w:hAnsi="Times New Roman"/>
      <w:i/>
      <w:iCs/>
    </w:rPr>
  </w:style>
  <w:style w:type="paragraph" w:styleId="Ttulo9">
    <w:name w:val="heading 9"/>
    <w:basedOn w:val="Normal"/>
    <w:next w:val="Normal"/>
    <w:link w:val="Ttulo9Car"/>
    <w:qFormat/>
    <w:rsid w:val="008841A3"/>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tween">
    <w:name w:val="_Between"/>
    <w:basedOn w:val="Normal"/>
    <w:qFormat/>
    <w:rsid w:val="008841A3"/>
    <w:rPr>
      <w:sz w:val="12"/>
    </w:rPr>
  </w:style>
  <w:style w:type="paragraph" w:customStyle="1" w:styleId="Body">
    <w:name w:val="_Body"/>
    <w:basedOn w:val="Normal"/>
    <w:qFormat/>
    <w:rsid w:val="008841A3"/>
    <w:pPr>
      <w:spacing w:after="240"/>
    </w:pPr>
  </w:style>
  <w:style w:type="paragraph" w:customStyle="1" w:styleId="BodyHeading">
    <w:name w:val="_BodyHeading"/>
    <w:basedOn w:val="BodyLarge"/>
    <w:next w:val="Body"/>
    <w:qFormat/>
    <w:rsid w:val="008841A3"/>
    <w:pPr>
      <w:keepNext/>
      <w:spacing w:before="440"/>
    </w:pPr>
    <w:rPr>
      <w:b/>
      <w:color w:val="000000"/>
      <w:kern w:val="2"/>
      <w:szCs w:val="20"/>
    </w:rPr>
  </w:style>
  <w:style w:type="paragraph" w:customStyle="1" w:styleId="BodySubheading">
    <w:name w:val="_BodySubheading"/>
    <w:basedOn w:val="BodyHeading"/>
    <w:next w:val="Body"/>
    <w:rsid w:val="002E185D"/>
    <w:pPr>
      <w:spacing w:before="0"/>
    </w:pPr>
    <w:rPr>
      <w:b w:val="0"/>
    </w:rPr>
  </w:style>
  <w:style w:type="paragraph" w:customStyle="1" w:styleId="HeadingPlain">
    <w:name w:val="_HeadingPlain"/>
    <w:basedOn w:val="Normal"/>
    <w:next w:val="Normal"/>
    <w:qFormat/>
    <w:rsid w:val="008841A3"/>
    <w:pPr>
      <w:keepNext/>
    </w:pPr>
    <w:rPr>
      <w:b/>
      <w:color w:val="000080"/>
      <w:sz w:val="44"/>
    </w:rPr>
  </w:style>
  <w:style w:type="paragraph" w:customStyle="1" w:styleId="Line">
    <w:name w:val="_Line"/>
    <w:basedOn w:val="Normal"/>
    <w:next w:val="Body"/>
    <w:qFormat/>
    <w:rsid w:val="008841A3"/>
    <w:pPr>
      <w:pBdr>
        <w:bottom w:val="single" w:sz="24" w:space="1" w:color="auto"/>
      </w:pBdr>
      <w:spacing w:after="360"/>
    </w:pPr>
    <w:rPr>
      <w:b/>
      <w:bCs/>
      <w:color w:val="000080"/>
      <w:sz w:val="28"/>
    </w:rPr>
  </w:style>
  <w:style w:type="paragraph" w:customStyle="1" w:styleId="Source">
    <w:name w:val="_Source"/>
    <w:basedOn w:val="BodySmall"/>
    <w:next w:val="Body"/>
    <w:qFormat/>
    <w:rsid w:val="008841A3"/>
    <w:pPr>
      <w:spacing w:before="40" w:after="0"/>
    </w:pPr>
    <w:rPr>
      <w:i/>
      <w:iCs/>
      <w:sz w:val="14"/>
    </w:rPr>
  </w:style>
  <w:style w:type="paragraph" w:customStyle="1" w:styleId="Subheading">
    <w:name w:val="_Subheading"/>
    <w:basedOn w:val="HeadingPlain"/>
    <w:next w:val="Line"/>
    <w:qFormat/>
    <w:rsid w:val="008841A3"/>
    <w:pPr>
      <w:spacing w:after="160"/>
    </w:pPr>
    <w:rPr>
      <w:sz w:val="28"/>
    </w:rPr>
  </w:style>
  <w:style w:type="paragraph" w:customStyle="1" w:styleId="Table">
    <w:name w:val="_Table"/>
    <w:basedOn w:val="Normal"/>
    <w:qFormat/>
    <w:rsid w:val="008841A3"/>
    <w:pPr>
      <w:spacing w:before="40" w:after="40"/>
      <w:ind w:right="144"/>
    </w:pPr>
    <w:rPr>
      <w:sz w:val="18"/>
    </w:rPr>
  </w:style>
  <w:style w:type="paragraph" w:customStyle="1" w:styleId="TableHead">
    <w:name w:val="_TableHead"/>
    <w:basedOn w:val="Table"/>
    <w:qFormat/>
    <w:rsid w:val="008841A3"/>
    <w:pPr>
      <w:keepNext/>
      <w:jc w:val="center"/>
    </w:pPr>
    <w:rPr>
      <w:b/>
      <w:color w:val="000080"/>
      <w:sz w:val="20"/>
    </w:rPr>
  </w:style>
  <w:style w:type="paragraph" w:customStyle="1" w:styleId="TableRowHead">
    <w:name w:val="_TableRowHead"/>
    <w:basedOn w:val="TableHead"/>
    <w:qFormat/>
    <w:rsid w:val="008841A3"/>
    <w:pPr>
      <w:jc w:val="left"/>
    </w:pPr>
  </w:style>
  <w:style w:type="paragraph" w:customStyle="1" w:styleId="TableSuperHead">
    <w:name w:val="_TableSuperHead"/>
    <w:basedOn w:val="TableHead"/>
    <w:qFormat/>
    <w:rsid w:val="008841A3"/>
    <w:pPr>
      <w:pBdr>
        <w:bottom w:val="single" w:sz="8" w:space="1" w:color="000080"/>
      </w:pBdr>
    </w:pPr>
  </w:style>
  <w:style w:type="paragraph" w:styleId="Encabezado">
    <w:name w:val="header"/>
    <w:basedOn w:val="Normal"/>
    <w:link w:val="EncabezadoCar"/>
    <w:unhideWhenUsed/>
    <w:rsid w:val="005C307A"/>
    <w:pPr>
      <w:tabs>
        <w:tab w:val="center" w:pos="4680"/>
        <w:tab w:val="right" w:pos="9360"/>
      </w:tabs>
    </w:pPr>
  </w:style>
  <w:style w:type="character" w:customStyle="1" w:styleId="EncabezadoCar">
    <w:name w:val="Encabezado Car"/>
    <w:basedOn w:val="Fuentedeprrafopredeter"/>
    <w:link w:val="Encabezado"/>
    <w:uiPriority w:val="99"/>
    <w:semiHidden/>
    <w:rsid w:val="005C307A"/>
  </w:style>
  <w:style w:type="paragraph" w:styleId="Piedepgina">
    <w:name w:val="footer"/>
    <w:basedOn w:val="Normal"/>
    <w:link w:val="PiedepginaCar"/>
    <w:uiPriority w:val="99"/>
    <w:unhideWhenUsed/>
    <w:rsid w:val="005C307A"/>
    <w:pPr>
      <w:tabs>
        <w:tab w:val="center" w:pos="4680"/>
        <w:tab w:val="right" w:pos="9360"/>
      </w:tabs>
    </w:pPr>
  </w:style>
  <w:style w:type="character" w:customStyle="1" w:styleId="PiedepginaCar">
    <w:name w:val="Pie de página Car"/>
    <w:basedOn w:val="Fuentedeprrafopredeter"/>
    <w:link w:val="Piedepgina"/>
    <w:uiPriority w:val="99"/>
    <w:rsid w:val="005C307A"/>
  </w:style>
  <w:style w:type="paragraph" w:styleId="Descripcin">
    <w:name w:val="caption"/>
    <w:basedOn w:val="Normal"/>
    <w:next w:val="BodyLarge"/>
    <w:qFormat/>
    <w:rsid w:val="008841A3"/>
    <w:pPr>
      <w:pBdr>
        <w:top w:val="single" w:sz="4" w:space="1" w:color="auto"/>
      </w:pBdr>
      <w:spacing w:after="120"/>
    </w:pPr>
    <w:rPr>
      <w:b/>
      <w:bCs/>
      <w:sz w:val="20"/>
      <w:szCs w:val="20"/>
    </w:rPr>
  </w:style>
  <w:style w:type="character" w:styleId="Refdecomentario">
    <w:name w:val="annotation reference"/>
    <w:basedOn w:val="Fuentedeprrafopredeter"/>
    <w:semiHidden/>
    <w:rsid w:val="00186B46"/>
    <w:rPr>
      <w:rFonts w:eastAsia="SC STKaiti"/>
      <w:b/>
      <w:caps/>
      <w:vanish/>
      <w:color w:val="FF00FF"/>
      <w:sz w:val="14"/>
      <w:vertAlign w:val="baseline"/>
    </w:rPr>
  </w:style>
  <w:style w:type="paragraph" w:styleId="Textocomentario">
    <w:name w:val="annotation text"/>
    <w:basedOn w:val="Normal"/>
    <w:link w:val="TextocomentarioCar"/>
    <w:semiHidden/>
    <w:rsid w:val="00186B46"/>
    <w:pPr>
      <w:spacing w:before="220"/>
      <w:ind w:right="-2160"/>
    </w:pPr>
    <w:rPr>
      <w:b/>
    </w:rPr>
  </w:style>
  <w:style w:type="character" w:customStyle="1" w:styleId="TextocomentarioCar">
    <w:name w:val="Texto comentario Car"/>
    <w:basedOn w:val="Fuentedeprrafopredeter"/>
    <w:link w:val="Textocomentario"/>
    <w:semiHidden/>
    <w:rsid w:val="00186B46"/>
    <w:rPr>
      <w:rFonts w:ascii="Arial" w:eastAsia="SC STKaiti" w:hAnsi="Arial" w:cs="Times New Roman"/>
      <w:b/>
      <w:szCs w:val="24"/>
      <w:lang w:eastAsia="en-US"/>
    </w:rPr>
  </w:style>
  <w:style w:type="character" w:customStyle="1" w:styleId="Ttulo1Car">
    <w:name w:val="Título 1 Car"/>
    <w:basedOn w:val="Fuentedeprrafopredeter"/>
    <w:link w:val="Ttulo1"/>
    <w:rsid w:val="00186B46"/>
    <w:rPr>
      <w:rFonts w:ascii="Arial" w:eastAsia="SC STKaiti" w:hAnsi="Arial"/>
      <w:b/>
      <w:bCs/>
      <w:color w:val="000080"/>
      <w:kern w:val="32"/>
      <w:sz w:val="44"/>
      <w:szCs w:val="32"/>
    </w:rPr>
  </w:style>
  <w:style w:type="character" w:customStyle="1" w:styleId="Ttulo2Car">
    <w:name w:val="Título 2 Car"/>
    <w:basedOn w:val="Fuentedeprrafopredeter"/>
    <w:link w:val="Ttulo2"/>
    <w:rsid w:val="00186B46"/>
    <w:rPr>
      <w:rFonts w:ascii="Arial" w:eastAsia="SC STKaiti" w:hAnsi="Arial"/>
      <w:b/>
      <w:bCs/>
      <w:iCs/>
      <w:color w:val="000080"/>
      <w:sz w:val="44"/>
      <w:szCs w:val="28"/>
    </w:rPr>
  </w:style>
  <w:style w:type="character" w:customStyle="1" w:styleId="Ttulo8Car">
    <w:name w:val="Título 8 Car"/>
    <w:aliases w:val="Appendix Car"/>
    <w:basedOn w:val="Fuentedeprrafopredeter"/>
    <w:link w:val="Ttulo8"/>
    <w:rsid w:val="00186B46"/>
    <w:rPr>
      <w:rFonts w:eastAsia="SC STKaiti"/>
      <w:i/>
      <w:iCs/>
      <w:sz w:val="24"/>
      <w:szCs w:val="24"/>
    </w:rPr>
  </w:style>
  <w:style w:type="paragraph" w:styleId="TDC1">
    <w:name w:val="toc 1"/>
    <w:basedOn w:val="Normal"/>
    <w:next w:val="Normal"/>
    <w:autoRedefine/>
    <w:semiHidden/>
    <w:rsid w:val="00186B46"/>
    <w:pPr>
      <w:keepNext/>
      <w:tabs>
        <w:tab w:val="right" w:pos="6048"/>
      </w:tabs>
      <w:spacing w:after="180"/>
    </w:pPr>
    <w:rPr>
      <w:rFonts w:eastAsia="SimSun"/>
      <w:b/>
      <w:bCs/>
      <w:noProof/>
      <w:sz w:val="20"/>
    </w:rPr>
  </w:style>
  <w:style w:type="character" w:styleId="Refdenotaalpie">
    <w:name w:val="footnote reference"/>
    <w:basedOn w:val="Fuentedeprrafopredeter"/>
    <w:semiHidden/>
    <w:rsid w:val="00186B46"/>
    <w:rPr>
      <w:rFonts w:eastAsia="SC STKaiti"/>
      <w:vertAlign w:val="superscript"/>
    </w:rPr>
  </w:style>
  <w:style w:type="paragraph" w:styleId="Textonotapie">
    <w:name w:val="footnote text"/>
    <w:basedOn w:val="Normal"/>
    <w:link w:val="TextonotapieCar"/>
    <w:semiHidden/>
    <w:rsid w:val="00186B46"/>
    <w:pPr>
      <w:ind w:left="86" w:hanging="86"/>
    </w:pPr>
    <w:rPr>
      <w:i/>
      <w:sz w:val="14"/>
    </w:rPr>
  </w:style>
  <w:style w:type="character" w:customStyle="1" w:styleId="TextonotapieCar">
    <w:name w:val="Texto nota pie Car"/>
    <w:basedOn w:val="Fuentedeprrafopredeter"/>
    <w:link w:val="Textonotapie"/>
    <w:semiHidden/>
    <w:rsid w:val="00186B46"/>
    <w:rPr>
      <w:rFonts w:ascii="Arial" w:eastAsia="SC STKaiti" w:hAnsi="Arial" w:cs="Times New Roman"/>
      <w:i/>
      <w:sz w:val="14"/>
      <w:szCs w:val="24"/>
    </w:rPr>
  </w:style>
  <w:style w:type="table" w:customStyle="1" w:styleId="GSTable">
    <w:name w:val="GS Table"/>
    <w:basedOn w:val="Tablanormal"/>
    <w:uiPriority w:val="99"/>
    <w:qFormat/>
    <w:rsid w:val="000E5EAD"/>
    <w:rPr>
      <w:rFonts w:eastAsiaTheme="minorHAnsi"/>
      <w:sz w:val="18"/>
    </w:rPr>
    <w:tblPr>
      <w:tblBorders>
        <w:insideH w:val="single" w:sz="2" w:space="0" w:color="auto"/>
      </w:tblBorders>
      <w:tblCellMar>
        <w:left w:w="0" w:type="dxa"/>
        <w:right w:w="0" w:type="dxa"/>
      </w:tblCellMar>
    </w:tblPr>
    <w:tcPr>
      <w:shd w:val="clear" w:color="auto" w:fill="auto"/>
    </w:tcPr>
    <w:tblStylePr w:type="firstRow">
      <w:rPr>
        <w:rFonts w:ascii="Arial" w:hAnsi="Arial"/>
        <w:sz w:val="18"/>
      </w:rPr>
      <w:tblPr/>
      <w:tcPr>
        <w:tcBorders>
          <w:top w:val="nil"/>
          <w:left w:val="nil"/>
          <w:bottom w:val="single" w:sz="12" w:space="0" w:color="000080"/>
          <w:right w:val="nil"/>
          <w:insideH w:val="nil"/>
          <w:insideV w:val="nil"/>
          <w:tl2br w:val="nil"/>
          <w:tr2bl w:val="nil"/>
        </w:tcBorders>
        <w:shd w:val="clear" w:color="auto" w:fill="auto"/>
      </w:tcPr>
    </w:tblStylePr>
  </w:style>
  <w:style w:type="paragraph" w:styleId="Textodeglobo">
    <w:name w:val="Balloon Text"/>
    <w:basedOn w:val="Normal"/>
    <w:link w:val="TextodegloboCar"/>
    <w:uiPriority w:val="99"/>
    <w:semiHidden/>
    <w:unhideWhenUsed/>
    <w:rsid w:val="00870375"/>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375"/>
    <w:rPr>
      <w:rFonts w:ascii="Tahoma" w:hAnsi="Tahoma" w:cs="Tahoma"/>
      <w:sz w:val="16"/>
      <w:szCs w:val="16"/>
    </w:rPr>
  </w:style>
  <w:style w:type="paragraph" w:customStyle="1" w:styleId="BodyLarge">
    <w:name w:val="_BodyLarge"/>
    <w:basedOn w:val="Body"/>
    <w:qFormat/>
    <w:rsid w:val="008841A3"/>
    <w:pPr>
      <w:spacing w:after="280"/>
    </w:pPr>
    <w:rPr>
      <w:sz w:val="28"/>
    </w:rPr>
  </w:style>
  <w:style w:type="paragraph" w:customStyle="1" w:styleId="BodySmall">
    <w:name w:val="_BodySmall"/>
    <w:basedOn w:val="Body"/>
    <w:qFormat/>
    <w:rsid w:val="008841A3"/>
    <w:pPr>
      <w:spacing w:after="200"/>
    </w:pPr>
    <w:rPr>
      <w:sz w:val="20"/>
    </w:rPr>
  </w:style>
  <w:style w:type="paragraph" w:customStyle="1" w:styleId="CoverText">
    <w:name w:val="_CoverText"/>
    <w:basedOn w:val="Normal"/>
    <w:qFormat/>
    <w:rsid w:val="008841A3"/>
    <w:rPr>
      <w:b/>
      <w:color w:val="000080"/>
      <w:sz w:val="32"/>
    </w:rPr>
  </w:style>
  <w:style w:type="paragraph" w:customStyle="1" w:styleId="CoverTitle">
    <w:name w:val="_CoverTitle"/>
    <w:basedOn w:val="CoverText"/>
    <w:qFormat/>
    <w:rsid w:val="008841A3"/>
    <w:pPr>
      <w:spacing w:before="3120" w:after="300"/>
    </w:pPr>
    <w:rPr>
      <w:sz w:val="48"/>
    </w:rPr>
  </w:style>
  <w:style w:type="paragraph" w:customStyle="1" w:styleId="Message">
    <w:name w:val="_Message"/>
    <w:basedOn w:val="BodyLarge"/>
    <w:next w:val="Body"/>
    <w:qFormat/>
    <w:rsid w:val="008841A3"/>
    <w:pPr>
      <w:spacing w:after="140"/>
    </w:pPr>
    <w:rPr>
      <w:b/>
      <w:bCs/>
      <w:color w:val="000000"/>
    </w:rPr>
  </w:style>
  <w:style w:type="paragraph" w:customStyle="1" w:styleId="TableHeadLarge">
    <w:name w:val="_TableHeadLarge"/>
    <w:basedOn w:val="TableHead"/>
    <w:qFormat/>
    <w:rsid w:val="008841A3"/>
    <w:pPr>
      <w:spacing w:before="60" w:after="60"/>
    </w:pPr>
    <w:rPr>
      <w:sz w:val="24"/>
    </w:rPr>
  </w:style>
  <w:style w:type="paragraph" w:customStyle="1" w:styleId="TableHeadSmall">
    <w:name w:val="_TableHeadSmall"/>
    <w:basedOn w:val="TableHead"/>
    <w:qFormat/>
    <w:rsid w:val="008841A3"/>
    <w:pPr>
      <w:spacing w:before="20" w:after="20"/>
    </w:pPr>
    <w:rPr>
      <w:sz w:val="16"/>
    </w:rPr>
  </w:style>
  <w:style w:type="paragraph" w:customStyle="1" w:styleId="TableLarge">
    <w:name w:val="_TableLarge"/>
    <w:basedOn w:val="Table"/>
    <w:qFormat/>
    <w:rsid w:val="008841A3"/>
    <w:pPr>
      <w:spacing w:before="60" w:after="60"/>
    </w:pPr>
    <w:rPr>
      <w:sz w:val="22"/>
    </w:rPr>
  </w:style>
  <w:style w:type="paragraph" w:customStyle="1" w:styleId="TableRowHeadLarge">
    <w:name w:val="_TableRowHeadLarge"/>
    <w:basedOn w:val="TableHeadLarge"/>
    <w:qFormat/>
    <w:rsid w:val="008841A3"/>
    <w:pPr>
      <w:jc w:val="left"/>
    </w:pPr>
  </w:style>
  <w:style w:type="paragraph" w:customStyle="1" w:styleId="TableRowHeadSmall">
    <w:name w:val="_TableRowHeadSmall"/>
    <w:basedOn w:val="TableHeadSmall"/>
    <w:qFormat/>
    <w:rsid w:val="008841A3"/>
    <w:pPr>
      <w:jc w:val="left"/>
    </w:pPr>
  </w:style>
  <w:style w:type="paragraph" w:customStyle="1" w:styleId="TableSmall">
    <w:name w:val="_TableSmall"/>
    <w:basedOn w:val="Table"/>
    <w:qFormat/>
    <w:rsid w:val="008841A3"/>
    <w:pPr>
      <w:spacing w:before="20" w:after="20"/>
      <w:ind w:right="72"/>
    </w:pPr>
    <w:rPr>
      <w:sz w:val="14"/>
    </w:rPr>
  </w:style>
  <w:style w:type="paragraph" w:customStyle="1" w:styleId="TableSuperHeadLarge">
    <w:name w:val="_TableSuperHeadLarge"/>
    <w:basedOn w:val="TableSuperHead"/>
    <w:qFormat/>
    <w:rsid w:val="008841A3"/>
    <w:pPr>
      <w:spacing w:before="60" w:after="60"/>
    </w:pPr>
    <w:rPr>
      <w:sz w:val="24"/>
    </w:rPr>
  </w:style>
  <w:style w:type="paragraph" w:customStyle="1" w:styleId="TableSuperHeadSmall">
    <w:name w:val="_TableSuperHeadSmall"/>
    <w:basedOn w:val="TableSuperHead"/>
    <w:qFormat/>
    <w:rsid w:val="008841A3"/>
    <w:pPr>
      <w:spacing w:before="20" w:after="20"/>
    </w:pPr>
    <w:rPr>
      <w:sz w:val="16"/>
    </w:rPr>
  </w:style>
  <w:style w:type="character" w:customStyle="1" w:styleId="Ttulo3Car">
    <w:name w:val="Título 3 Car"/>
    <w:basedOn w:val="Fuentedeprrafopredeter"/>
    <w:link w:val="Ttulo3"/>
    <w:rsid w:val="008841A3"/>
    <w:rPr>
      <w:rFonts w:ascii="Arial" w:eastAsia="SC STKaiti" w:hAnsi="Arial"/>
      <w:b/>
      <w:color w:val="000080"/>
      <w:kern w:val="32"/>
      <w:sz w:val="44"/>
      <w:szCs w:val="26"/>
    </w:rPr>
  </w:style>
  <w:style w:type="character" w:customStyle="1" w:styleId="Ttulo4Car">
    <w:name w:val="Título 4 Car"/>
    <w:basedOn w:val="Fuentedeprrafopredeter"/>
    <w:link w:val="Ttulo4"/>
    <w:rsid w:val="008841A3"/>
    <w:rPr>
      <w:rFonts w:ascii="Arial" w:eastAsia="SC STKaiti" w:hAnsi="Arial"/>
      <w:b/>
      <w:bCs/>
      <w:color w:val="000080"/>
      <w:sz w:val="28"/>
      <w:szCs w:val="24"/>
    </w:rPr>
  </w:style>
  <w:style w:type="character" w:customStyle="1" w:styleId="Ttulo5Car">
    <w:name w:val="Título 5 Car"/>
    <w:basedOn w:val="Fuentedeprrafopredeter"/>
    <w:link w:val="Ttulo5"/>
    <w:rsid w:val="008841A3"/>
    <w:rPr>
      <w:rFonts w:ascii="Arial" w:eastAsia="SC STKaiti" w:hAnsi="Arial"/>
      <w:b/>
      <w:bCs/>
      <w:i/>
      <w:iCs/>
      <w:sz w:val="26"/>
      <w:szCs w:val="26"/>
    </w:rPr>
  </w:style>
  <w:style w:type="character" w:customStyle="1" w:styleId="Ttulo6Car">
    <w:name w:val="Título 6 Car"/>
    <w:basedOn w:val="Fuentedeprrafopredeter"/>
    <w:link w:val="Ttulo6"/>
    <w:rsid w:val="008841A3"/>
    <w:rPr>
      <w:rFonts w:eastAsia="SC STKaiti"/>
      <w:b/>
      <w:bCs/>
      <w:sz w:val="22"/>
      <w:szCs w:val="22"/>
    </w:rPr>
  </w:style>
  <w:style w:type="character" w:customStyle="1" w:styleId="Ttulo7Car">
    <w:name w:val="Título 7 Car"/>
    <w:basedOn w:val="Fuentedeprrafopredeter"/>
    <w:link w:val="Ttulo7"/>
    <w:rsid w:val="008841A3"/>
    <w:rPr>
      <w:rFonts w:eastAsia="SC STKaiti"/>
      <w:sz w:val="24"/>
      <w:szCs w:val="24"/>
    </w:rPr>
  </w:style>
  <w:style w:type="character" w:customStyle="1" w:styleId="Ttulo9Car">
    <w:name w:val="Título 9 Car"/>
    <w:basedOn w:val="Fuentedeprrafopredeter"/>
    <w:link w:val="Ttulo9"/>
    <w:rsid w:val="008841A3"/>
    <w:rPr>
      <w:rFonts w:ascii="Arial" w:eastAsia="SC STKaiti" w:hAnsi="Arial" w:cs="Arial"/>
      <w:sz w:val="22"/>
      <w:szCs w:val="22"/>
    </w:rPr>
  </w:style>
  <w:style w:type="paragraph" w:styleId="Ttulo">
    <w:name w:val="Title"/>
    <w:basedOn w:val="Normal"/>
    <w:link w:val="TtuloCar"/>
    <w:qFormat/>
    <w:rsid w:val="008841A3"/>
    <w:pPr>
      <w:spacing w:before="240" w:after="60"/>
      <w:jc w:val="center"/>
      <w:outlineLvl w:val="0"/>
    </w:pPr>
    <w:rPr>
      <w:rFonts w:cs="Arial"/>
      <w:b/>
      <w:bCs/>
      <w:kern w:val="28"/>
      <w:sz w:val="32"/>
      <w:szCs w:val="32"/>
    </w:rPr>
  </w:style>
  <w:style w:type="character" w:customStyle="1" w:styleId="TtuloCar">
    <w:name w:val="Título Car"/>
    <w:basedOn w:val="Fuentedeprrafopredeter"/>
    <w:link w:val="Ttulo"/>
    <w:rsid w:val="008841A3"/>
    <w:rPr>
      <w:rFonts w:ascii="Arial" w:eastAsia="SC STKaiti" w:hAnsi="Arial" w:cs="Arial"/>
      <w:b/>
      <w:bCs/>
      <w:kern w:val="28"/>
      <w:sz w:val="32"/>
      <w:szCs w:val="32"/>
    </w:rPr>
  </w:style>
  <w:style w:type="paragraph" w:styleId="Subttulo">
    <w:name w:val="Subtitle"/>
    <w:basedOn w:val="Normal"/>
    <w:link w:val="SubttuloCar"/>
    <w:qFormat/>
    <w:rsid w:val="008841A3"/>
    <w:pPr>
      <w:spacing w:after="60"/>
      <w:jc w:val="center"/>
      <w:outlineLvl w:val="1"/>
    </w:pPr>
    <w:rPr>
      <w:rFonts w:cs="Arial"/>
    </w:rPr>
  </w:style>
  <w:style w:type="character" w:customStyle="1" w:styleId="SubttuloCar">
    <w:name w:val="Subtítulo Car"/>
    <w:basedOn w:val="Fuentedeprrafopredeter"/>
    <w:link w:val="Subttulo"/>
    <w:rsid w:val="008841A3"/>
    <w:rPr>
      <w:rFonts w:ascii="Arial" w:eastAsia="SC STKaiti" w:hAnsi="Arial" w:cs="Arial"/>
      <w:sz w:val="24"/>
      <w:szCs w:val="24"/>
    </w:rPr>
  </w:style>
  <w:style w:type="character" w:styleId="Textoennegrita">
    <w:name w:val="Strong"/>
    <w:basedOn w:val="Fuentedeprrafopredeter"/>
    <w:qFormat/>
    <w:rsid w:val="008841A3"/>
    <w:rPr>
      <w:rFonts w:eastAsia="SC STKaiti"/>
      <w:b/>
      <w:bCs/>
    </w:rPr>
  </w:style>
  <w:style w:type="character" w:styleId="nfasis">
    <w:name w:val="Emphasis"/>
    <w:basedOn w:val="Fuentedeprrafopredeter"/>
    <w:qFormat/>
    <w:rsid w:val="008841A3"/>
    <w:rPr>
      <w:rFonts w:eastAsia="SC STKaiti"/>
      <w:i/>
      <w:iCs/>
    </w:rPr>
  </w:style>
  <w:style w:type="character" w:styleId="Hipervnculo">
    <w:name w:val="Hyperlink"/>
    <w:basedOn w:val="Fuentedeprrafopredeter"/>
    <w:uiPriority w:val="99"/>
    <w:unhideWhenUsed/>
    <w:rsid w:val="008841A3"/>
    <w:rPr>
      <w:rFonts w:ascii="Times New Roman" w:hAnsi="Times New Roman" w:cs="Times New Roman" w:hint="default"/>
      <w:color w:val="000000"/>
      <w:u w:val="single"/>
    </w:rPr>
  </w:style>
  <w:style w:type="paragraph" w:styleId="Prrafodelista">
    <w:name w:val="List Paragraph"/>
    <w:basedOn w:val="Normal"/>
    <w:uiPriority w:val="34"/>
    <w:qFormat/>
    <w:rsid w:val="008841A3"/>
    <w:pPr>
      <w:ind w:left="720"/>
    </w:pPr>
    <w:rPr>
      <w:rFonts w:asciiTheme="minorHAnsi" w:eastAsiaTheme="minorHAnsi" w:hAnsiTheme="minorHAnsi" w:cstheme="minorBidi"/>
      <w:sz w:val="22"/>
      <w:szCs w:val="22"/>
    </w:rPr>
  </w:style>
  <w:style w:type="paragraph" w:styleId="Asuntodelcomentario">
    <w:name w:val="annotation subject"/>
    <w:basedOn w:val="Textocomentario"/>
    <w:next w:val="Textocomentario"/>
    <w:link w:val="AsuntodelcomentarioCar"/>
    <w:uiPriority w:val="99"/>
    <w:semiHidden/>
    <w:unhideWhenUsed/>
    <w:rsid w:val="003B0BF2"/>
    <w:pPr>
      <w:spacing w:before="0"/>
      <w:ind w:right="0"/>
    </w:pPr>
    <w:rPr>
      <w:bCs/>
      <w:sz w:val="20"/>
      <w:szCs w:val="20"/>
    </w:rPr>
  </w:style>
  <w:style w:type="character" w:customStyle="1" w:styleId="AsuntodelcomentarioCar">
    <w:name w:val="Asunto del comentario Car"/>
    <w:basedOn w:val="TextocomentarioCar"/>
    <w:link w:val="Asuntodelcomentario"/>
    <w:uiPriority w:val="99"/>
    <w:semiHidden/>
    <w:rsid w:val="003B0BF2"/>
    <w:rPr>
      <w:rFonts w:ascii="Arial" w:eastAsia="SC STKaiti" w:hAnsi="Arial" w:cs="Times New Roman"/>
      <w:b/>
      <w:bCs/>
      <w:szCs w:val="24"/>
      <w:lang w:eastAsia="en-US"/>
    </w:rPr>
  </w:style>
  <w:style w:type="paragraph" w:styleId="Revisin">
    <w:name w:val="Revision"/>
    <w:hidden/>
    <w:uiPriority w:val="99"/>
    <w:semiHidden/>
    <w:rsid w:val="00131053"/>
    <w:rPr>
      <w:rFonts w:ascii="Arial" w:eastAsia="SC STKaiti" w:hAnsi="Arial"/>
      <w:sz w:val="24"/>
      <w:szCs w:val="24"/>
    </w:rPr>
  </w:style>
  <w:style w:type="table" w:styleId="Tablaconcuadrcula">
    <w:name w:val="Table Grid"/>
    <w:basedOn w:val="Tablanormal"/>
    <w:uiPriority w:val="59"/>
    <w:rsid w:val="00A10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6E6259"/>
    <w:rPr>
      <w:color w:val="800080" w:themeColor="followedHyperlink"/>
      <w:u w:val="single"/>
    </w:rPr>
  </w:style>
  <w:style w:type="character" w:styleId="Mencinsinresolver">
    <w:name w:val="Unresolved Mention"/>
    <w:basedOn w:val="Fuentedeprrafopredeter"/>
    <w:uiPriority w:val="99"/>
    <w:semiHidden/>
    <w:unhideWhenUsed/>
    <w:rsid w:val="00577D97"/>
    <w:rPr>
      <w:color w:val="808080"/>
      <w:shd w:val="clear" w:color="auto" w:fill="E6E6E6"/>
    </w:rPr>
  </w:style>
  <w:style w:type="character" w:customStyle="1" w:styleId="normaltextrun">
    <w:name w:val="normaltextrun"/>
    <w:basedOn w:val="Fuentedeprrafopredeter"/>
    <w:rsid w:val="000F1E51"/>
  </w:style>
  <w:style w:type="character" w:customStyle="1" w:styleId="eop">
    <w:name w:val="eop"/>
    <w:basedOn w:val="Fuentedeprrafopredeter"/>
    <w:rsid w:val="000F1E51"/>
  </w:style>
  <w:style w:type="paragraph" w:customStyle="1" w:styleId="m-8949665141473075859msolistparagraph">
    <w:name w:val="m_-8949665141473075859msolistparagraph"/>
    <w:basedOn w:val="Normal"/>
    <w:rsid w:val="00A363D3"/>
    <w:pPr>
      <w:spacing w:before="100" w:beforeAutospacing="1" w:after="100" w:afterAutospacing="1"/>
    </w:pPr>
    <w:rPr>
      <w:rFonts w:ascii="Times New Roman" w:eastAsia="Times New Roman" w:hAnsi="Times New Roman"/>
      <w:lang w:val="es-CO" w:eastAsia="es-CO"/>
    </w:rPr>
  </w:style>
  <w:style w:type="character" w:customStyle="1" w:styleId="m-1907855351532511497msofootnotereference">
    <w:name w:val="m_-1907855351532511497msofootnotereference"/>
    <w:basedOn w:val="Fuentedeprrafopredeter"/>
    <w:rsid w:val="004F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792">
      <w:bodyDiv w:val="1"/>
      <w:marLeft w:val="0"/>
      <w:marRight w:val="0"/>
      <w:marTop w:val="0"/>
      <w:marBottom w:val="0"/>
      <w:divBdr>
        <w:top w:val="none" w:sz="0" w:space="0" w:color="auto"/>
        <w:left w:val="none" w:sz="0" w:space="0" w:color="auto"/>
        <w:bottom w:val="none" w:sz="0" w:space="0" w:color="auto"/>
        <w:right w:val="none" w:sz="0" w:space="0" w:color="auto"/>
      </w:divBdr>
    </w:div>
    <w:div w:id="101923559">
      <w:bodyDiv w:val="1"/>
      <w:marLeft w:val="0"/>
      <w:marRight w:val="0"/>
      <w:marTop w:val="0"/>
      <w:marBottom w:val="0"/>
      <w:divBdr>
        <w:top w:val="none" w:sz="0" w:space="0" w:color="auto"/>
        <w:left w:val="none" w:sz="0" w:space="0" w:color="auto"/>
        <w:bottom w:val="none" w:sz="0" w:space="0" w:color="auto"/>
        <w:right w:val="none" w:sz="0" w:space="0" w:color="auto"/>
      </w:divBdr>
    </w:div>
    <w:div w:id="243616166">
      <w:bodyDiv w:val="1"/>
      <w:marLeft w:val="0"/>
      <w:marRight w:val="0"/>
      <w:marTop w:val="0"/>
      <w:marBottom w:val="0"/>
      <w:divBdr>
        <w:top w:val="none" w:sz="0" w:space="0" w:color="auto"/>
        <w:left w:val="none" w:sz="0" w:space="0" w:color="auto"/>
        <w:bottom w:val="none" w:sz="0" w:space="0" w:color="auto"/>
        <w:right w:val="none" w:sz="0" w:space="0" w:color="auto"/>
      </w:divBdr>
    </w:div>
    <w:div w:id="431364174">
      <w:bodyDiv w:val="1"/>
      <w:marLeft w:val="0"/>
      <w:marRight w:val="0"/>
      <w:marTop w:val="0"/>
      <w:marBottom w:val="0"/>
      <w:divBdr>
        <w:top w:val="none" w:sz="0" w:space="0" w:color="auto"/>
        <w:left w:val="none" w:sz="0" w:space="0" w:color="auto"/>
        <w:bottom w:val="none" w:sz="0" w:space="0" w:color="auto"/>
        <w:right w:val="none" w:sz="0" w:space="0" w:color="auto"/>
      </w:divBdr>
    </w:div>
    <w:div w:id="530802285">
      <w:bodyDiv w:val="1"/>
      <w:marLeft w:val="0"/>
      <w:marRight w:val="0"/>
      <w:marTop w:val="0"/>
      <w:marBottom w:val="0"/>
      <w:divBdr>
        <w:top w:val="none" w:sz="0" w:space="0" w:color="auto"/>
        <w:left w:val="none" w:sz="0" w:space="0" w:color="auto"/>
        <w:bottom w:val="none" w:sz="0" w:space="0" w:color="auto"/>
        <w:right w:val="none" w:sz="0" w:space="0" w:color="auto"/>
      </w:divBdr>
    </w:div>
    <w:div w:id="561257448">
      <w:bodyDiv w:val="1"/>
      <w:marLeft w:val="0"/>
      <w:marRight w:val="0"/>
      <w:marTop w:val="0"/>
      <w:marBottom w:val="0"/>
      <w:divBdr>
        <w:top w:val="none" w:sz="0" w:space="0" w:color="auto"/>
        <w:left w:val="none" w:sz="0" w:space="0" w:color="auto"/>
        <w:bottom w:val="none" w:sz="0" w:space="0" w:color="auto"/>
        <w:right w:val="none" w:sz="0" w:space="0" w:color="auto"/>
      </w:divBdr>
    </w:div>
    <w:div w:id="697049562">
      <w:bodyDiv w:val="1"/>
      <w:marLeft w:val="0"/>
      <w:marRight w:val="0"/>
      <w:marTop w:val="0"/>
      <w:marBottom w:val="0"/>
      <w:divBdr>
        <w:top w:val="none" w:sz="0" w:space="0" w:color="auto"/>
        <w:left w:val="none" w:sz="0" w:space="0" w:color="auto"/>
        <w:bottom w:val="none" w:sz="0" w:space="0" w:color="auto"/>
        <w:right w:val="none" w:sz="0" w:space="0" w:color="auto"/>
      </w:divBdr>
    </w:div>
    <w:div w:id="895507806">
      <w:bodyDiv w:val="1"/>
      <w:marLeft w:val="0"/>
      <w:marRight w:val="0"/>
      <w:marTop w:val="0"/>
      <w:marBottom w:val="0"/>
      <w:divBdr>
        <w:top w:val="none" w:sz="0" w:space="0" w:color="auto"/>
        <w:left w:val="none" w:sz="0" w:space="0" w:color="auto"/>
        <w:bottom w:val="none" w:sz="0" w:space="0" w:color="auto"/>
        <w:right w:val="none" w:sz="0" w:space="0" w:color="auto"/>
      </w:divBdr>
    </w:div>
    <w:div w:id="1494030905">
      <w:bodyDiv w:val="1"/>
      <w:marLeft w:val="0"/>
      <w:marRight w:val="0"/>
      <w:marTop w:val="0"/>
      <w:marBottom w:val="0"/>
      <w:divBdr>
        <w:top w:val="none" w:sz="0" w:space="0" w:color="auto"/>
        <w:left w:val="none" w:sz="0" w:space="0" w:color="auto"/>
        <w:bottom w:val="none" w:sz="0" w:space="0" w:color="auto"/>
        <w:right w:val="none" w:sz="0" w:space="0" w:color="auto"/>
      </w:divBdr>
    </w:div>
    <w:div w:id="1519586906">
      <w:bodyDiv w:val="1"/>
      <w:marLeft w:val="0"/>
      <w:marRight w:val="0"/>
      <w:marTop w:val="0"/>
      <w:marBottom w:val="0"/>
      <w:divBdr>
        <w:top w:val="none" w:sz="0" w:space="0" w:color="auto"/>
        <w:left w:val="none" w:sz="0" w:space="0" w:color="auto"/>
        <w:bottom w:val="none" w:sz="0" w:space="0" w:color="auto"/>
        <w:right w:val="none" w:sz="0" w:space="0" w:color="auto"/>
      </w:divBdr>
    </w:div>
    <w:div w:id="1678726455">
      <w:bodyDiv w:val="1"/>
      <w:marLeft w:val="0"/>
      <w:marRight w:val="0"/>
      <w:marTop w:val="0"/>
      <w:marBottom w:val="0"/>
      <w:divBdr>
        <w:top w:val="none" w:sz="0" w:space="0" w:color="auto"/>
        <w:left w:val="none" w:sz="0" w:space="0" w:color="auto"/>
        <w:bottom w:val="none" w:sz="0" w:space="0" w:color="auto"/>
        <w:right w:val="none" w:sz="0" w:space="0" w:color="auto"/>
      </w:divBdr>
    </w:div>
    <w:div w:id="1820076151">
      <w:bodyDiv w:val="1"/>
      <w:marLeft w:val="0"/>
      <w:marRight w:val="0"/>
      <w:marTop w:val="0"/>
      <w:marBottom w:val="0"/>
      <w:divBdr>
        <w:top w:val="none" w:sz="0" w:space="0" w:color="auto"/>
        <w:left w:val="none" w:sz="0" w:space="0" w:color="auto"/>
        <w:bottom w:val="none" w:sz="0" w:space="0" w:color="auto"/>
        <w:right w:val="none" w:sz="0" w:space="0" w:color="auto"/>
      </w:divBdr>
    </w:div>
    <w:div w:id="18400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yes@credicorpperu.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StyleBook">
      <a:dk1>
        <a:sysClr val="windowText" lastClr="000000"/>
      </a:dk1>
      <a:lt1>
        <a:srgbClr val="FFFFFF"/>
      </a:lt1>
      <a:dk2>
        <a:srgbClr val="000080"/>
      </a:dk2>
      <a:lt2>
        <a:srgbClr val="EEECE1"/>
      </a:lt2>
      <a:accent1>
        <a:srgbClr val="20396D"/>
      </a:accent1>
      <a:accent2>
        <a:srgbClr val="68A2BF"/>
      </a:accent2>
      <a:accent3>
        <a:srgbClr val="CD252B"/>
      </a:accent3>
      <a:accent4>
        <a:srgbClr val="FFA469"/>
      </a:accent4>
      <a:accent5>
        <a:srgbClr val="E3E311"/>
      </a:accent5>
      <a:accent6>
        <a:srgbClr val="33996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E0836799C53904BAEC8EB239EEB7B23" ma:contentTypeVersion="12" ma:contentTypeDescription="Crear nuevo documento." ma:contentTypeScope="" ma:versionID="f3c1360b35d66dc7358f6817347801cc">
  <xsd:schema xmlns:xsd="http://www.w3.org/2001/XMLSchema" xmlns:xs="http://www.w3.org/2001/XMLSchema" xmlns:p="http://schemas.microsoft.com/office/2006/metadata/properties" xmlns:ns3="41c3d2e7-5ee8-4b68-bc8a-821de896f89a" xmlns:ns4="3fce6e6f-f5db-4423-af37-978cab89dd47" targetNamespace="http://schemas.microsoft.com/office/2006/metadata/properties" ma:root="true" ma:fieldsID="4fd9a3e422aa3ffc9f930230291e9dbc" ns3:_="" ns4:_="">
    <xsd:import namespace="41c3d2e7-5ee8-4b68-bc8a-821de896f89a"/>
    <xsd:import namespace="3fce6e6f-f5db-4423-af37-978cab89dd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3d2e7-5ee8-4b68-bc8a-821de896f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ce6e6f-f5db-4423-af37-978cab89dd47"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68BF3-6346-4D47-B9A4-8DBA9E8F2118}">
  <ds:schemaRefs>
    <ds:schemaRef ds:uri="http://schemas.openxmlformats.org/officeDocument/2006/bibliography"/>
  </ds:schemaRefs>
</ds:datastoreItem>
</file>

<file path=customXml/itemProps2.xml><?xml version="1.0" encoding="utf-8"?>
<ds:datastoreItem xmlns:ds="http://schemas.openxmlformats.org/officeDocument/2006/customXml" ds:itemID="{C1E22C5D-013D-45C5-9FFC-7C5613493F6C}">
  <ds:schemaRefs>
    <ds:schemaRef ds:uri="http://schemas.microsoft.com/sharepoint/v3/contenttype/forms"/>
  </ds:schemaRefs>
</ds:datastoreItem>
</file>

<file path=customXml/itemProps3.xml><?xml version="1.0" encoding="utf-8"?>
<ds:datastoreItem xmlns:ds="http://schemas.openxmlformats.org/officeDocument/2006/customXml" ds:itemID="{0CB8CB85-EE66-4565-B61A-BD9ACFDC3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3d2e7-5ee8-4b68-bc8a-821de896f89a"/>
    <ds:schemaRef ds:uri="3fce6e6f-f5db-4423-af37-978cab89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953EE-4B45-4EBA-8DD9-A3DE0538C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760</Words>
  <Characters>4182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Goldman Sachs &amp; Co</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Document1</dc:subject>
  <dc:creator>Rudisill, Neil [IBD]</dc:creator>
  <cp:lastModifiedBy>Felipe Pérez</cp:lastModifiedBy>
  <cp:revision>11</cp:revision>
  <cp:lastPrinted>2020-06-05T14:37:00Z</cp:lastPrinted>
  <dcterms:created xsi:type="dcterms:W3CDTF">2021-08-19T12:41:00Z</dcterms:created>
  <dcterms:modified xsi:type="dcterms:W3CDTF">2021-08-23T13:47:00Z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0x0101006E0836799C53904BAEC8EB239EEB7B23</vt:lpwstr>
  </property>
  <property fmtid="{D5CDD505-2E9C-101B-9397-08002B2CF9AE}" pid="3" name="Project">
    <vt:lpwstr>ibdroot</vt:lpwstr>
  </property>
</Properties>
</file>