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70A68" w14:textId="5F9802A3" w:rsidR="009E7E76" w:rsidRDefault="009E7E76" w:rsidP="007B1BC7">
      <w:pPr>
        <w:autoSpaceDE/>
        <w:autoSpaceDN/>
        <w:adjustRightInd/>
        <w:rPr>
          <w:rFonts w:ascii="Arial" w:eastAsia="BBVABentonSans" w:hAnsi="Arial"/>
          <w:color w:val="072146"/>
          <w:sz w:val="32"/>
          <w:szCs w:val="32"/>
        </w:rPr>
      </w:pPr>
      <w:bookmarkStart w:id="0" w:name="_GoBack"/>
      <w:bookmarkEnd w:id="0"/>
      <w:r>
        <w:rPr>
          <w:rFonts w:ascii="Arial" w:eastAsia="BBVABentonSans" w:hAnsi="Arial"/>
          <w:color w:val="072146"/>
          <w:sz w:val="32"/>
          <w:szCs w:val="32"/>
        </w:rPr>
        <w:t>E</w:t>
      </w:r>
      <w:r w:rsidRPr="009E7E76">
        <w:rPr>
          <w:rFonts w:ascii="Arial" w:eastAsia="BBVABentonSans" w:hAnsi="Arial"/>
          <w:color w:val="072146"/>
          <w:sz w:val="32"/>
          <w:szCs w:val="32"/>
        </w:rPr>
        <w:t xml:space="preserve">l banco </w:t>
      </w:r>
      <w:r>
        <w:rPr>
          <w:rFonts w:ascii="Arial" w:eastAsia="BBVABentonSans" w:hAnsi="Arial"/>
          <w:color w:val="072146"/>
          <w:sz w:val="32"/>
          <w:szCs w:val="32"/>
        </w:rPr>
        <w:t>duplicó</w:t>
      </w:r>
      <w:r w:rsidRPr="009E7E76">
        <w:rPr>
          <w:rFonts w:ascii="Arial" w:eastAsia="BBVABentonSans" w:hAnsi="Arial"/>
          <w:color w:val="072146"/>
          <w:sz w:val="32"/>
          <w:szCs w:val="32"/>
        </w:rPr>
        <w:t xml:space="preserve"> su objetivo de financiaci</w:t>
      </w:r>
      <w:r w:rsidRPr="009E7E76">
        <w:rPr>
          <w:rFonts w:ascii="Arial" w:eastAsia="BBVABentonSans" w:hAnsi="Arial" w:hint="eastAsia"/>
          <w:color w:val="072146"/>
          <w:sz w:val="32"/>
          <w:szCs w:val="32"/>
        </w:rPr>
        <w:t>ó</w:t>
      </w:r>
      <w:r w:rsidRPr="009E7E76">
        <w:rPr>
          <w:rFonts w:ascii="Arial" w:eastAsia="BBVABentonSans" w:hAnsi="Arial"/>
          <w:color w:val="072146"/>
          <w:sz w:val="32"/>
          <w:szCs w:val="32"/>
        </w:rPr>
        <w:t>n sostenible y canalizar</w:t>
      </w:r>
      <w:r w:rsidRPr="009E7E76">
        <w:rPr>
          <w:rFonts w:ascii="Arial" w:eastAsia="BBVABentonSans" w:hAnsi="Arial" w:hint="eastAsia"/>
          <w:color w:val="072146"/>
          <w:sz w:val="32"/>
          <w:szCs w:val="32"/>
        </w:rPr>
        <w:t>á</w:t>
      </w:r>
      <w:r w:rsidRPr="009E7E76">
        <w:rPr>
          <w:rFonts w:ascii="Arial" w:eastAsia="BBVABentonSans" w:hAnsi="Arial"/>
          <w:color w:val="072146"/>
          <w:sz w:val="32"/>
          <w:szCs w:val="32"/>
        </w:rPr>
        <w:t xml:space="preserve"> 200.000 millones de euros hasta 2025</w:t>
      </w:r>
    </w:p>
    <w:p w14:paraId="043E38A8" w14:textId="31B6F0A7" w:rsidR="00DD7711" w:rsidRPr="007B1BC7" w:rsidRDefault="009E7E76" w:rsidP="007B1BC7">
      <w:pPr>
        <w:autoSpaceDE/>
        <w:autoSpaceDN/>
        <w:adjustRightInd/>
        <w:rPr>
          <w:rFonts w:ascii="Arial" w:hAnsi="Arial"/>
          <w:color w:val="auto"/>
        </w:rPr>
      </w:pPr>
      <w:r>
        <w:rPr>
          <w:rFonts w:ascii="Arial" w:eastAsia="Arial" w:hAnsi="Arial"/>
          <w:color w:val="02A5A5"/>
          <w:sz w:val="48"/>
          <w:szCs w:val="48"/>
        </w:rPr>
        <w:t>Utilidades</w:t>
      </w:r>
      <w:r w:rsidR="007B1BC7" w:rsidRPr="007B1BC7">
        <w:rPr>
          <w:rFonts w:ascii="Arial" w:eastAsia="Arial" w:hAnsi="Arial"/>
          <w:color w:val="02A5A5"/>
          <w:sz w:val="48"/>
          <w:szCs w:val="48"/>
        </w:rPr>
        <w:t xml:space="preserve"> de BBVA alcanza</w:t>
      </w:r>
      <w:r>
        <w:rPr>
          <w:rFonts w:ascii="Arial" w:eastAsia="Arial" w:hAnsi="Arial"/>
          <w:color w:val="02A5A5"/>
          <w:sz w:val="48"/>
          <w:szCs w:val="48"/>
        </w:rPr>
        <w:t>n</w:t>
      </w:r>
      <w:r w:rsidR="007B1BC7" w:rsidRPr="007B1BC7">
        <w:rPr>
          <w:rFonts w:ascii="Arial" w:eastAsia="Arial" w:hAnsi="Arial"/>
          <w:color w:val="02A5A5"/>
          <w:sz w:val="48"/>
          <w:szCs w:val="48"/>
        </w:rPr>
        <w:t xml:space="preserve"> 2.327 millones </w:t>
      </w:r>
      <w:r>
        <w:rPr>
          <w:rFonts w:ascii="Arial" w:eastAsia="Arial" w:hAnsi="Arial"/>
          <w:color w:val="02A5A5"/>
          <w:sz w:val="48"/>
          <w:szCs w:val="48"/>
        </w:rPr>
        <w:t xml:space="preserve">de euros </w:t>
      </w:r>
      <w:r w:rsidR="007B1BC7" w:rsidRPr="007B1BC7">
        <w:rPr>
          <w:rFonts w:ascii="Arial" w:eastAsia="Arial" w:hAnsi="Arial"/>
          <w:color w:val="02A5A5"/>
          <w:sz w:val="48"/>
          <w:szCs w:val="48"/>
        </w:rPr>
        <w:t>en el primer semestre de 2021</w:t>
      </w:r>
    </w:p>
    <w:p w14:paraId="27F500B2" w14:textId="2D4A4CA7" w:rsidR="00F21D5C" w:rsidRPr="00F21D5C" w:rsidRDefault="007B1BC7" w:rsidP="007B1BC7">
      <w:pPr>
        <w:pStyle w:val="Prrafodelista"/>
        <w:numPr>
          <w:ilvl w:val="0"/>
          <w:numId w:val="3"/>
        </w:numPr>
        <w:autoSpaceDE/>
        <w:autoSpaceDN/>
        <w:adjustRightInd/>
        <w:rPr>
          <w:rFonts w:ascii="Arial" w:hAnsi="Arial"/>
          <w:color w:val="auto"/>
        </w:rPr>
      </w:pPr>
      <w:r>
        <w:rPr>
          <w:rFonts w:ascii="Arial" w:hAnsi="Arial"/>
          <w:color w:val="auto"/>
        </w:rPr>
        <w:t>“</w:t>
      </w:r>
      <w:r w:rsidRPr="007B1BC7">
        <w:rPr>
          <w:rFonts w:ascii="Arial" w:hAnsi="Arial"/>
          <w:color w:val="auto"/>
        </w:rPr>
        <w:t xml:space="preserve">Seguimos avanzando a buen ritmo en </w:t>
      </w:r>
      <w:r w:rsidRPr="007B1BC7">
        <w:rPr>
          <w:rFonts w:ascii="Arial" w:hAnsi="Arial" w:hint="eastAsia"/>
          <w:color w:val="auto"/>
        </w:rPr>
        <w:t>á</w:t>
      </w:r>
      <w:r w:rsidRPr="007B1BC7">
        <w:rPr>
          <w:rFonts w:ascii="Arial" w:hAnsi="Arial"/>
          <w:color w:val="auto"/>
        </w:rPr>
        <w:t xml:space="preserve">reas clave de nuestra estrategia: </w:t>
      </w:r>
      <w:r w:rsidRPr="007B1BC7">
        <w:rPr>
          <w:rFonts w:ascii="Arial" w:hAnsi="Arial"/>
          <w:b/>
          <w:color w:val="219899" w:themeColor="accent3" w:themeShade="BF"/>
        </w:rPr>
        <w:t>hemos duplicado nuestro compromiso con la sostenibilidad y hemos logrado un r</w:t>
      </w:r>
      <w:r w:rsidRPr="007B1BC7">
        <w:rPr>
          <w:rFonts w:ascii="Arial" w:hAnsi="Arial" w:hint="eastAsia"/>
          <w:b/>
          <w:color w:val="219899" w:themeColor="accent3" w:themeShade="BF"/>
        </w:rPr>
        <w:t>é</w:t>
      </w:r>
      <w:r w:rsidRPr="007B1BC7">
        <w:rPr>
          <w:rFonts w:ascii="Arial" w:hAnsi="Arial"/>
          <w:b/>
          <w:color w:val="219899" w:themeColor="accent3" w:themeShade="BF"/>
        </w:rPr>
        <w:t>cord hist</w:t>
      </w:r>
      <w:r w:rsidRPr="007B1BC7">
        <w:rPr>
          <w:rFonts w:ascii="Arial" w:hAnsi="Arial" w:hint="eastAsia"/>
          <w:b/>
          <w:color w:val="219899" w:themeColor="accent3" w:themeShade="BF"/>
        </w:rPr>
        <w:t>ó</w:t>
      </w:r>
      <w:r w:rsidRPr="007B1BC7">
        <w:rPr>
          <w:rFonts w:ascii="Arial" w:hAnsi="Arial"/>
          <w:b/>
          <w:color w:val="219899" w:themeColor="accent3" w:themeShade="BF"/>
        </w:rPr>
        <w:t>rico en captaci</w:t>
      </w:r>
      <w:r w:rsidRPr="007B1BC7">
        <w:rPr>
          <w:rFonts w:ascii="Arial" w:hAnsi="Arial" w:hint="eastAsia"/>
          <w:b/>
          <w:color w:val="219899" w:themeColor="accent3" w:themeShade="BF"/>
        </w:rPr>
        <w:t>ó</w:t>
      </w:r>
      <w:r w:rsidRPr="007B1BC7">
        <w:rPr>
          <w:rFonts w:ascii="Arial" w:hAnsi="Arial"/>
          <w:b/>
          <w:color w:val="219899" w:themeColor="accent3" w:themeShade="BF"/>
        </w:rPr>
        <w:t>n de clientes por canales digitales</w:t>
      </w:r>
      <w:r>
        <w:rPr>
          <w:rFonts w:ascii="Arial" w:hAnsi="Arial"/>
          <w:color w:val="auto"/>
        </w:rPr>
        <w:t xml:space="preserve">”, dijo </w:t>
      </w:r>
      <w:proofErr w:type="spellStart"/>
      <w:r w:rsidRPr="007B1BC7">
        <w:rPr>
          <w:rFonts w:ascii="Arial" w:hAnsi="Arial"/>
          <w:color w:val="auto"/>
        </w:rPr>
        <w:t>Onur</w:t>
      </w:r>
      <w:proofErr w:type="spellEnd"/>
      <w:r w:rsidRPr="007B1BC7">
        <w:rPr>
          <w:rFonts w:ascii="Arial" w:hAnsi="Arial"/>
          <w:color w:val="auto"/>
        </w:rPr>
        <w:t xml:space="preserve"> </w:t>
      </w:r>
      <w:proofErr w:type="spellStart"/>
      <w:r w:rsidRPr="007B1BC7">
        <w:rPr>
          <w:rFonts w:ascii="Arial" w:hAnsi="Arial"/>
          <w:color w:val="auto"/>
        </w:rPr>
        <w:t>Gen</w:t>
      </w:r>
      <w:r w:rsidRPr="007B1BC7">
        <w:rPr>
          <w:rFonts w:ascii="Arial" w:hAnsi="Arial" w:hint="eastAsia"/>
          <w:color w:val="auto"/>
        </w:rPr>
        <w:t>ç</w:t>
      </w:r>
      <w:proofErr w:type="spellEnd"/>
      <w:r w:rsidRPr="007B1BC7">
        <w:rPr>
          <w:rFonts w:ascii="Arial" w:hAnsi="Arial"/>
          <w:color w:val="auto"/>
        </w:rPr>
        <w:t>, consejero delegado de BBVA.</w:t>
      </w:r>
    </w:p>
    <w:p w14:paraId="7D2884C7" w14:textId="77777777" w:rsidR="00F21D5C" w:rsidRPr="00F21D5C" w:rsidRDefault="00F21D5C" w:rsidP="00F21D5C">
      <w:pPr>
        <w:pStyle w:val="Prrafodelista"/>
        <w:ind w:left="360"/>
        <w:rPr>
          <w:rFonts w:ascii="Arial" w:hAnsi="Arial"/>
          <w:color w:val="auto"/>
        </w:rPr>
      </w:pPr>
    </w:p>
    <w:p w14:paraId="167AB783" w14:textId="1265509B" w:rsidR="00F21D5C" w:rsidRPr="00F21D5C" w:rsidRDefault="007B1BC7" w:rsidP="007B1BC7">
      <w:pPr>
        <w:pStyle w:val="Prrafodelista"/>
        <w:numPr>
          <w:ilvl w:val="0"/>
          <w:numId w:val="3"/>
        </w:numPr>
        <w:autoSpaceDE/>
        <w:autoSpaceDN/>
        <w:adjustRightInd/>
        <w:rPr>
          <w:rFonts w:ascii="Arial" w:hAnsi="Arial"/>
          <w:color w:val="auto"/>
        </w:rPr>
      </w:pPr>
      <w:r w:rsidRPr="007B1BC7">
        <w:rPr>
          <w:rFonts w:ascii="Arial" w:hAnsi="Arial"/>
          <w:color w:val="auto"/>
        </w:rPr>
        <w:t>Este resultado ha sido posible gracias</w:t>
      </w:r>
      <w:r w:rsidRPr="007B1BC7">
        <w:rPr>
          <w:rFonts w:ascii="Arial" w:hAnsi="Arial"/>
          <w:b/>
          <w:color w:val="02A5A5"/>
        </w:rPr>
        <w:t xml:space="preserve"> a la fortaleza de los ingresos, particularmente de los t</w:t>
      </w:r>
      <w:r w:rsidRPr="007B1BC7">
        <w:rPr>
          <w:rFonts w:ascii="Arial" w:hAnsi="Arial" w:hint="eastAsia"/>
          <w:b/>
          <w:color w:val="02A5A5"/>
        </w:rPr>
        <w:t>í</w:t>
      </w:r>
      <w:r w:rsidRPr="007B1BC7">
        <w:rPr>
          <w:rFonts w:ascii="Arial" w:hAnsi="Arial"/>
          <w:b/>
          <w:color w:val="02A5A5"/>
        </w:rPr>
        <w:t>picos del negocio bancario (margen de intereses y comisiones) y a los menores saneamientos con respecto al primer semestre de 2020.</w:t>
      </w:r>
      <w:r w:rsidR="00F21D5C" w:rsidRPr="00F21D5C">
        <w:rPr>
          <w:rFonts w:ascii="Arial" w:hAnsi="Arial"/>
          <w:b/>
          <w:color w:val="02A5A5"/>
        </w:rPr>
        <w:br/>
      </w:r>
    </w:p>
    <w:p w14:paraId="7CDEE1BF" w14:textId="2532340C" w:rsidR="00F21D5C" w:rsidRPr="00F21D5C" w:rsidRDefault="007B1BC7" w:rsidP="007B1BC7">
      <w:pPr>
        <w:pStyle w:val="Prrafodelista"/>
        <w:numPr>
          <w:ilvl w:val="0"/>
          <w:numId w:val="3"/>
        </w:numPr>
        <w:autoSpaceDE/>
        <w:autoSpaceDN/>
        <w:adjustRightInd/>
        <w:rPr>
          <w:rFonts w:ascii="Arial" w:hAnsi="Arial"/>
          <w:color w:val="auto"/>
        </w:rPr>
      </w:pPr>
      <w:r w:rsidRPr="007B1BC7">
        <w:rPr>
          <w:rFonts w:ascii="Arial" w:hAnsi="Arial"/>
          <w:color w:val="auto"/>
        </w:rPr>
        <w:t xml:space="preserve">Los clientes digitales </w:t>
      </w:r>
      <w:r w:rsidRPr="007B1BC7">
        <w:rPr>
          <w:rFonts w:ascii="Arial" w:hAnsi="Arial"/>
          <w:b/>
          <w:color w:val="219899" w:themeColor="accent3" w:themeShade="BF"/>
        </w:rPr>
        <w:t>suponen un 66,1% del total, y suman 38,5 millones</w:t>
      </w:r>
      <w:r w:rsidRPr="007B1BC7">
        <w:rPr>
          <w:rFonts w:ascii="Arial" w:hAnsi="Arial"/>
          <w:color w:val="219899" w:themeColor="accent3" w:themeShade="BF"/>
        </w:rPr>
        <w:t xml:space="preserve"> </w:t>
      </w:r>
      <w:r>
        <w:rPr>
          <w:rFonts w:ascii="Arial" w:hAnsi="Arial"/>
          <w:color w:val="auto"/>
        </w:rPr>
        <w:t>es decir un crecimiento de 36% desde junio de 2019.</w:t>
      </w:r>
    </w:p>
    <w:p w14:paraId="3275BDA1" w14:textId="238B3A72" w:rsidR="007B1BC7" w:rsidRDefault="007B1BC7" w:rsidP="00F21D5C">
      <w:pPr>
        <w:jc w:val="both"/>
        <w:rPr>
          <w:rFonts w:ascii="Arial" w:eastAsia="Arial" w:hAnsi="Arial"/>
          <w:color w:val="121212"/>
        </w:rPr>
      </w:pPr>
      <w:r w:rsidRPr="007B1BC7">
        <w:rPr>
          <w:rFonts w:ascii="Arial" w:eastAsia="Arial" w:hAnsi="Arial"/>
          <w:color w:val="121212"/>
        </w:rPr>
        <w:t>El Grupo BBVA obtuvo un resultado atribuido de 2.327 millones de euros entre enero y junio de 2021, excluyendo los impactos no recurrentes de los resultados de la venta de BBVA USA y los costes netos del plan de reestructuraci</w:t>
      </w:r>
      <w:r w:rsidRPr="007B1BC7">
        <w:rPr>
          <w:rFonts w:ascii="Arial" w:eastAsia="Arial" w:hAnsi="Arial" w:hint="eastAsia"/>
          <w:color w:val="121212"/>
        </w:rPr>
        <w:t>ó</w:t>
      </w:r>
      <w:r w:rsidRPr="007B1BC7">
        <w:rPr>
          <w:rFonts w:ascii="Arial" w:eastAsia="Arial" w:hAnsi="Arial"/>
          <w:color w:val="121212"/>
        </w:rPr>
        <w:t>n en Espa</w:t>
      </w:r>
      <w:r w:rsidRPr="007B1BC7">
        <w:rPr>
          <w:rFonts w:ascii="Arial" w:eastAsia="Arial" w:hAnsi="Arial" w:hint="eastAsia"/>
          <w:color w:val="121212"/>
        </w:rPr>
        <w:t>ñ</w:t>
      </w:r>
      <w:r w:rsidRPr="007B1BC7">
        <w:rPr>
          <w:rFonts w:ascii="Arial" w:eastAsia="Arial" w:hAnsi="Arial"/>
          <w:color w:val="121212"/>
        </w:rPr>
        <w:t>a. Esta cifra es un 146% superior a la correspondi</w:t>
      </w:r>
      <w:r w:rsidR="00CD43E9">
        <w:rPr>
          <w:rFonts w:ascii="Arial" w:eastAsia="Arial" w:hAnsi="Arial"/>
          <w:color w:val="121212"/>
        </w:rPr>
        <w:t>ente al primer semestre de 2020.</w:t>
      </w:r>
      <w:r>
        <w:rPr>
          <w:rFonts w:ascii="Arial" w:eastAsia="Arial" w:hAnsi="Arial"/>
          <w:color w:val="121212"/>
        </w:rPr>
        <w:t xml:space="preserve"> </w:t>
      </w:r>
      <w:r w:rsidRPr="007B1BC7">
        <w:rPr>
          <w:rFonts w:ascii="Arial" w:eastAsia="Arial" w:hAnsi="Arial"/>
          <w:color w:val="121212"/>
        </w:rPr>
        <w:t>Incluyendo dichos impactos no recurrentes, el resultado atribuido fue de 1.911 millones de euros, una cifra que compara muy positivamente con las p</w:t>
      </w:r>
      <w:r w:rsidRPr="007B1BC7">
        <w:rPr>
          <w:rFonts w:ascii="Arial" w:eastAsia="Arial" w:hAnsi="Arial" w:hint="eastAsia"/>
          <w:color w:val="121212"/>
        </w:rPr>
        <w:t>é</w:t>
      </w:r>
      <w:r w:rsidRPr="007B1BC7">
        <w:rPr>
          <w:rFonts w:ascii="Arial" w:eastAsia="Arial" w:hAnsi="Arial"/>
          <w:color w:val="121212"/>
        </w:rPr>
        <w:t>rdidas de 1.157 millones del mismo periodo de 2020, consecuencia del impacto de la pandemia.</w:t>
      </w:r>
    </w:p>
    <w:p w14:paraId="2B5DC5F4" w14:textId="2F4DF989" w:rsidR="007B1BC7" w:rsidRDefault="007B1BC7" w:rsidP="00DD7711">
      <w:pPr>
        <w:jc w:val="both"/>
        <w:rPr>
          <w:rFonts w:ascii="Arial" w:eastAsia="Arial" w:hAnsi="Arial"/>
          <w:color w:val="888888" w:themeColor="background2" w:themeTint="80"/>
        </w:rPr>
      </w:pPr>
      <w:r w:rsidRPr="007B1BC7">
        <w:rPr>
          <w:rFonts w:ascii="Arial" w:eastAsia="Arial" w:hAnsi="Arial"/>
          <w:color w:val="888888" w:themeColor="background2" w:themeTint="80"/>
        </w:rPr>
        <w:t>Este resultado ha sido posible gracias a la fortaleza de los ingresos, particularmente de los t</w:t>
      </w:r>
      <w:r w:rsidRPr="007B1BC7">
        <w:rPr>
          <w:rFonts w:ascii="Arial" w:eastAsia="Arial" w:hAnsi="Arial" w:hint="eastAsia"/>
          <w:color w:val="888888" w:themeColor="background2" w:themeTint="80"/>
        </w:rPr>
        <w:t>í</w:t>
      </w:r>
      <w:r w:rsidRPr="007B1BC7">
        <w:rPr>
          <w:rFonts w:ascii="Arial" w:eastAsia="Arial" w:hAnsi="Arial"/>
          <w:color w:val="888888" w:themeColor="background2" w:themeTint="80"/>
        </w:rPr>
        <w:t>picos del negocio bancario (margen de intereses y comisiones) y a los menores saneamientos con respecto al primer semestre de 2020. Tras el cierre de la venta de BBVA USA, el Grupo mantiene una s</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lida posici</w:t>
      </w:r>
      <w:r w:rsidRPr="007B1BC7">
        <w:rPr>
          <w:rFonts w:ascii="Arial" w:eastAsia="Arial" w:hAnsi="Arial" w:hint="eastAsia"/>
          <w:color w:val="888888" w:themeColor="background2" w:themeTint="80"/>
        </w:rPr>
        <w:t>ó</w:t>
      </w:r>
      <w:r w:rsidR="009E7E76">
        <w:rPr>
          <w:rFonts w:ascii="Arial" w:eastAsia="Arial" w:hAnsi="Arial"/>
          <w:color w:val="888888" w:themeColor="background2" w:themeTint="80"/>
        </w:rPr>
        <w:t>n de capital</w:t>
      </w:r>
      <w:r w:rsidRPr="007B1BC7">
        <w:rPr>
          <w:rFonts w:ascii="Arial" w:eastAsia="Arial" w:hAnsi="Arial"/>
          <w:color w:val="888888" w:themeColor="background2" w:themeTint="80"/>
        </w:rPr>
        <w:t xml:space="preserve">. </w:t>
      </w:r>
    </w:p>
    <w:p w14:paraId="746E878D" w14:textId="5F38805A" w:rsidR="007B1BC7" w:rsidRPr="007B1BC7" w:rsidRDefault="007B1BC7" w:rsidP="007B1BC7">
      <w:pPr>
        <w:jc w:val="both"/>
        <w:rPr>
          <w:rFonts w:ascii="Arial" w:eastAsia="Arial" w:hAnsi="Arial"/>
          <w:color w:val="888888" w:themeColor="background2" w:themeTint="80"/>
        </w:rPr>
      </w:pPr>
      <w:r>
        <w:rPr>
          <w:rFonts w:ascii="Arial" w:eastAsia="Arial" w:hAnsi="Arial"/>
          <w:color w:val="888888" w:themeColor="background2" w:themeTint="80"/>
        </w:rPr>
        <w:t>“</w:t>
      </w:r>
      <w:r w:rsidRPr="007B1BC7">
        <w:rPr>
          <w:rFonts w:ascii="Arial" w:eastAsia="Arial" w:hAnsi="Arial"/>
          <w:color w:val="888888" w:themeColor="background2" w:themeTint="80"/>
        </w:rPr>
        <w:t>En el segundo trimestre de 2021 nuestros resultados han evolucionado de forma muy positiva. Nuestro beneficio atribuido recurrente alcanz</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 1.294 millones de euros, superando los niveles previos a la pandemia, gracias a la excelente evoluci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n del margen neto. Seguimos avanzando a buen ritmo en </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reas clave de nuestra estrategia: hemos duplicado nuestro compromiso con la sostenibilidad y hemos logrado un r</w:t>
      </w:r>
      <w:r w:rsidRPr="007B1BC7">
        <w:rPr>
          <w:rFonts w:ascii="Arial" w:eastAsia="Arial" w:hAnsi="Arial" w:hint="eastAsia"/>
          <w:color w:val="888888" w:themeColor="background2" w:themeTint="80"/>
        </w:rPr>
        <w:t>é</w:t>
      </w:r>
      <w:r w:rsidRPr="007B1BC7">
        <w:rPr>
          <w:rFonts w:ascii="Arial" w:eastAsia="Arial" w:hAnsi="Arial"/>
          <w:color w:val="888888" w:themeColor="background2" w:themeTint="80"/>
        </w:rPr>
        <w:t>cord hist</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rico en captaci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de clientes por canales digitales</w:t>
      </w:r>
      <w:r>
        <w:rPr>
          <w:rFonts w:ascii="Arial" w:eastAsia="Arial" w:hAnsi="Arial"/>
          <w:color w:val="888888" w:themeColor="background2" w:themeTint="80"/>
        </w:rPr>
        <w:t>”</w:t>
      </w:r>
      <w:r w:rsidRPr="007B1BC7">
        <w:rPr>
          <w:rFonts w:ascii="Arial" w:eastAsia="Arial" w:hAnsi="Arial"/>
          <w:color w:val="888888" w:themeColor="background2" w:themeTint="80"/>
        </w:rPr>
        <w:t>, coment</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 </w:t>
      </w:r>
      <w:proofErr w:type="spellStart"/>
      <w:r w:rsidRPr="007B1BC7">
        <w:rPr>
          <w:rFonts w:ascii="Arial" w:eastAsia="Arial" w:hAnsi="Arial"/>
          <w:color w:val="888888" w:themeColor="background2" w:themeTint="80"/>
        </w:rPr>
        <w:t>Onur</w:t>
      </w:r>
      <w:proofErr w:type="spellEnd"/>
      <w:r w:rsidRPr="007B1BC7">
        <w:rPr>
          <w:rFonts w:ascii="Arial" w:eastAsia="Arial" w:hAnsi="Arial"/>
          <w:color w:val="888888" w:themeColor="background2" w:themeTint="80"/>
        </w:rPr>
        <w:t xml:space="preserve"> </w:t>
      </w:r>
      <w:proofErr w:type="spellStart"/>
      <w:r w:rsidRPr="007B1BC7">
        <w:rPr>
          <w:rFonts w:ascii="Arial" w:eastAsia="Arial" w:hAnsi="Arial"/>
          <w:color w:val="888888" w:themeColor="background2" w:themeTint="80"/>
        </w:rPr>
        <w:t>Gen</w:t>
      </w:r>
      <w:r w:rsidRPr="007B1BC7">
        <w:rPr>
          <w:rFonts w:ascii="Arial" w:eastAsia="Arial" w:hAnsi="Arial" w:hint="eastAsia"/>
          <w:color w:val="888888" w:themeColor="background2" w:themeTint="80"/>
        </w:rPr>
        <w:t>ç</w:t>
      </w:r>
      <w:proofErr w:type="spellEnd"/>
      <w:r w:rsidRPr="007B1BC7">
        <w:rPr>
          <w:rFonts w:ascii="Arial" w:eastAsia="Arial" w:hAnsi="Arial"/>
          <w:color w:val="888888" w:themeColor="background2" w:themeTint="80"/>
        </w:rPr>
        <w:t>, consejero delegado de BBVA.</w:t>
      </w:r>
    </w:p>
    <w:p w14:paraId="42B9FBEB" w14:textId="5D6AD99B" w:rsidR="007B1BC7" w:rsidRP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Uno de los hitos m</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 xml:space="preserve">s relevantes del trimestre ha sido el cierre de la venta de la filial de BBVA en Estados Unidos a </w:t>
      </w:r>
      <w:proofErr w:type="spellStart"/>
      <w:r w:rsidRPr="007B1BC7">
        <w:rPr>
          <w:rFonts w:ascii="Arial" w:eastAsia="Arial" w:hAnsi="Arial"/>
          <w:color w:val="888888" w:themeColor="background2" w:themeTint="80"/>
        </w:rPr>
        <w:t>The</w:t>
      </w:r>
      <w:proofErr w:type="spellEnd"/>
      <w:r w:rsidRPr="007B1BC7">
        <w:rPr>
          <w:rFonts w:ascii="Arial" w:eastAsia="Arial" w:hAnsi="Arial"/>
          <w:color w:val="888888" w:themeColor="background2" w:themeTint="80"/>
        </w:rPr>
        <w:t xml:space="preserve"> PNC </w:t>
      </w:r>
      <w:proofErr w:type="spellStart"/>
      <w:r w:rsidRPr="007B1BC7">
        <w:rPr>
          <w:rFonts w:ascii="Arial" w:eastAsia="Arial" w:hAnsi="Arial"/>
          <w:color w:val="888888" w:themeColor="background2" w:themeTint="80"/>
        </w:rPr>
        <w:t>Financial</w:t>
      </w:r>
      <w:proofErr w:type="spellEnd"/>
      <w:r w:rsidRPr="007B1BC7">
        <w:rPr>
          <w:rFonts w:ascii="Arial" w:eastAsia="Arial" w:hAnsi="Arial"/>
          <w:color w:val="888888" w:themeColor="background2" w:themeTint="80"/>
        </w:rPr>
        <w:t xml:space="preserve"> </w:t>
      </w:r>
      <w:proofErr w:type="spellStart"/>
      <w:r w:rsidRPr="007B1BC7">
        <w:rPr>
          <w:rFonts w:ascii="Arial" w:eastAsia="Arial" w:hAnsi="Arial"/>
          <w:color w:val="888888" w:themeColor="background2" w:themeTint="80"/>
        </w:rPr>
        <w:t>Services</w:t>
      </w:r>
      <w:proofErr w:type="spellEnd"/>
      <w:r w:rsidRPr="007B1BC7">
        <w:rPr>
          <w:rFonts w:ascii="Arial" w:eastAsia="Arial" w:hAnsi="Arial"/>
          <w:color w:val="888888" w:themeColor="background2" w:themeTint="80"/>
        </w:rPr>
        <w:t xml:space="preserve"> Inc. (en adelante, PNC). </w:t>
      </w:r>
    </w:p>
    <w:p w14:paraId="14A32DDF" w14:textId="748CC4FB" w:rsidR="007B1BC7" w:rsidRP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lastRenderedPageBreak/>
        <w:t>Tras el importante esfuerzo en saneamientos y provisiones realizado en la primera mitad de 2020, los resultados recurrentes de BBVA recuperan los niveles pre pandemia</w:t>
      </w:r>
      <w:r w:rsidR="00CD43E9">
        <w:rPr>
          <w:rFonts w:ascii="Arial" w:eastAsia="Arial" w:hAnsi="Arial"/>
          <w:color w:val="888888" w:themeColor="background2" w:themeTint="80"/>
        </w:rPr>
        <w:t>.</w:t>
      </w:r>
    </w:p>
    <w:p w14:paraId="279A2FCC" w14:textId="77777777" w:rsidR="007B1BC7" w:rsidRPr="007B1BC7" w:rsidRDefault="007B1BC7" w:rsidP="007B1BC7">
      <w:pPr>
        <w:jc w:val="both"/>
        <w:rPr>
          <w:rFonts w:ascii="Arial" w:eastAsia="Arial" w:hAnsi="Arial"/>
          <w:b/>
          <w:color w:val="004481" w:themeColor="text1"/>
        </w:rPr>
      </w:pPr>
      <w:r w:rsidRPr="007B1BC7">
        <w:rPr>
          <w:rFonts w:ascii="Arial" w:eastAsia="Arial" w:hAnsi="Arial"/>
          <w:b/>
          <w:color w:val="004481" w:themeColor="text1"/>
        </w:rPr>
        <w:t>Avances en digitalizaci</w:t>
      </w:r>
      <w:r w:rsidRPr="007B1BC7">
        <w:rPr>
          <w:rFonts w:ascii="Arial" w:eastAsia="Arial" w:hAnsi="Arial" w:hint="eastAsia"/>
          <w:b/>
          <w:color w:val="004481" w:themeColor="text1"/>
        </w:rPr>
        <w:t>ó</w:t>
      </w:r>
      <w:r w:rsidRPr="007B1BC7">
        <w:rPr>
          <w:rFonts w:ascii="Arial" w:eastAsia="Arial" w:hAnsi="Arial"/>
          <w:b/>
          <w:color w:val="004481" w:themeColor="text1"/>
        </w:rPr>
        <w:t>n</w:t>
      </w:r>
    </w:p>
    <w:p w14:paraId="275DE816" w14:textId="61287761" w:rsid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Las cifras del primer semestre de 2021 confirman la aceleraci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de la digitalizaci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en BBVA. Los clientes digitales suponen un 66,1% del total, y suman 38,5 millones (+36% desde junio de 2019). Los clientes m</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viles han crecido un 44,6% en dos a</w:t>
      </w:r>
      <w:r w:rsidRPr="007B1BC7">
        <w:rPr>
          <w:rFonts w:ascii="Arial" w:eastAsia="Arial" w:hAnsi="Arial" w:hint="eastAsia"/>
          <w:color w:val="888888" w:themeColor="background2" w:themeTint="80"/>
        </w:rPr>
        <w:t>ñ</w:t>
      </w:r>
      <w:r w:rsidRPr="007B1BC7">
        <w:rPr>
          <w:rFonts w:ascii="Arial" w:eastAsia="Arial" w:hAnsi="Arial"/>
          <w:color w:val="888888" w:themeColor="background2" w:themeTint="80"/>
        </w:rPr>
        <w:t>os, hasta 36,3 millones, y suponen un 62,4% del total de los clientes del Grupo. La adquisici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de nuevos clientes a trav</w:t>
      </w:r>
      <w:r w:rsidRPr="007B1BC7">
        <w:rPr>
          <w:rFonts w:ascii="Arial" w:eastAsia="Arial" w:hAnsi="Arial" w:hint="eastAsia"/>
          <w:color w:val="888888" w:themeColor="background2" w:themeTint="80"/>
        </w:rPr>
        <w:t>é</w:t>
      </w:r>
      <w:r w:rsidRPr="007B1BC7">
        <w:rPr>
          <w:rFonts w:ascii="Arial" w:eastAsia="Arial" w:hAnsi="Arial"/>
          <w:color w:val="888888" w:themeColor="background2" w:themeTint="80"/>
        </w:rPr>
        <w:t xml:space="preserve">s de canales digitales ha crecido un 45% en los </w:t>
      </w:r>
      <w:r w:rsidRPr="007B1BC7">
        <w:rPr>
          <w:rFonts w:ascii="Arial" w:eastAsia="Arial" w:hAnsi="Arial" w:hint="eastAsia"/>
          <w:color w:val="888888" w:themeColor="background2" w:themeTint="80"/>
        </w:rPr>
        <w:t>ú</w:t>
      </w:r>
      <w:r w:rsidRPr="007B1BC7">
        <w:rPr>
          <w:rFonts w:ascii="Arial" w:eastAsia="Arial" w:hAnsi="Arial"/>
          <w:color w:val="888888" w:themeColor="background2" w:themeTint="80"/>
        </w:rPr>
        <w:t>ltimos doce meses, lo que supone un r</w:t>
      </w:r>
      <w:r w:rsidRPr="007B1BC7">
        <w:rPr>
          <w:rFonts w:ascii="Arial" w:eastAsia="Arial" w:hAnsi="Arial" w:hint="eastAsia"/>
          <w:color w:val="888888" w:themeColor="background2" w:themeTint="80"/>
        </w:rPr>
        <w:t>é</w:t>
      </w:r>
      <w:r w:rsidRPr="007B1BC7">
        <w:rPr>
          <w:rFonts w:ascii="Arial" w:eastAsia="Arial" w:hAnsi="Arial"/>
          <w:color w:val="888888" w:themeColor="background2" w:themeTint="80"/>
        </w:rPr>
        <w:t>cord hist</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rico.</w:t>
      </w:r>
    </w:p>
    <w:p w14:paraId="652E048F" w14:textId="77777777" w:rsidR="007B1BC7" w:rsidRPr="007B1BC7" w:rsidRDefault="007B1BC7" w:rsidP="007B1BC7">
      <w:pPr>
        <w:jc w:val="both"/>
        <w:rPr>
          <w:rFonts w:ascii="Arial" w:eastAsia="Arial" w:hAnsi="Arial"/>
          <w:b/>
          <w:color w:val="004481" w:themeColor="text1"/>
        </w:rPr>
      </w:pPr>
      <w:r w:rsidRPr="007B1BC7">
        <w:rPr>
          <w:rFonts w:ascii="Arial" w:eastAsia="Arial" w:hAnsi="Arial"/>
          <w:b/>
          <w:color w:val="004481" w:themeColor="text1"/>
        </w:rPr>
        <w:t>Nuevo compromiso con la sostenibilidad</w:t>
      </w:r>
    </w:p>
    <w:p w14:paraId="576DD4C2" w14:textId="77777777" w:rsidR="00CD43E9"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BBVA ha dado un nuevo impulso a su estrategia al elevar la sostenibilidad al m</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ximo nivel ejecutivo de la organizaci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con la creaci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n de una nueva </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rea global de Sostenibilidad, liderada por Javier Rodr</w:t>
      </w:r>
      <w:r w:rsidRPr="007B1BC7">
        <w:rPr>
          <w:rFonts w:ascii="Arial" w:eastAsia="Arial" w:hAnsi="Arial" w:hint="eastAsia"/>
          <w:color w:val="888888" w:themeColor="background2" w:themeTint="80"/>
        </w:rPr>
        <w:t>í</w:t>
      </w:r>
      <w:r w:rsidRPr="007B1BC7">
        <w:rPr>
          <w:rFonts w:ascii="Arial" w:eastAsia="Arial" w:hAnsi="Arial"/>
          <w:color w:val="888888" w:themeColor="background2" w:themeTint="80"/>
        </w:rPr>
        <w:t>guez Soler. La divisi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nace con la aspiraci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n de convertir a BBVA en el banco de referencia de los clientes en soluciones de sostenibilidad. </w:t>
      </w:r>
    </w:p>
    <w:p w14:paraId="7554ADFF" w14:textId="2B87EED2" w:rsidR="007B1BC7" w:rsidRP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Adem</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s, el banco ha duplicado su objetivo de financiaci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n sostenible y canalizar</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 xml:space="preserve"> 200.000 millones de euros hasta 2025. Desde 2018 y hasta el cierre del primer semestre de 2021, el Grupo ha canalizado ya 67.000 millones de euros, de los cuales 8.000 millones en este segundo trimestre del a</w:t>
      </w:r>
      <w:r w:rsidRPr="007B1BC7">
        <w:rPr>
          <w:rFonts w:ascii="Arial" w:eastAsia="Arial" w:hAnsi="Arial" w:hint="eastAsia"/>
          <w:color w:val="888888" w:themeColor="background2" w:themeTint="80"/>
        </w:rPr>
        <w:t>ñ</w:t>
      </w:r>
      <w:r>
        <w:rPr>
          <w:rFonts w:ascii="Arial" w:eastAsia="Arial" w:hAnsi="Arial"/>
          <w:color w:val="888888" w:themeColor="background2" w:themeTint="80"/>
        </w:rPr>
        <w:t>o.</w:t>
      </w:r>
    </w:p>
    <w:p w14:paraId="0BC0FFFA" w14:textId="77777777" w:rsidR="007B1BC7" w:rsidRPr="007B1BC7" w:rsidRDefault="007B1BC7" w:rsidP="007B1BC7">
      <w:pPr>
        <w:jc w:val="both"/>
        <w:rPr>
          <w:rFonts w:ascii="Arial" w:eastAsia="Arial" w:hAnsi="Arial"/>
          <w:b/>
          <w:color w:val="004481" w:themeColor="text1"/>
        </w:rPr>
      </w:pPr>
      <w:r w:rsidRPr="007B1BC7">
        <w:rPr>
          <w:rFonts w:ascii="Arial" w:eastAsia="Arial" w:hAnsi="Arial" w:hint="eastAsia"/>
          <w:b/>
          <w:color w:val="004481" w:themeColor="text1"/>
        </w:rPr>
        <w:t>Á</w:t>
      </w:r>
      <w:r w:rsidRPr="007B1BC7">
        <w:rPr>
          <w:rFonts w:ascii="Arial" w:eastAsia="Arial" w:hAnsi="Arial"/>
          <w:b/>
          <w:color w:val="004481" w:themeColor="text1"/>
        </w:rPr>
        <w:t>reas de negocio</w:t>
      </w:r>
    </w:p>
    <w:p w14:paraId="5ABAB5D3" w14:textId="18E1A7B0" w:rsidR="007B1BC7" w:rsidRP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 xml:space="preserve">En </w:t>
      </w:r>
      <w:r w:rsidRPr="009E7E76">
        <w:rPr>
          <w:rFonts w:ascii="Arial" w:eastAsia="Arial" w:hAnsi="Arial"/>
          <w:b/>
          <w:color w:val="888888" w:themeColor="background2" w:themeTint="80"/>
        </w:rPr>
        <w:t>Espa</w:t>
      </w:r>
      <w:r w:rsidRPr="009E7E76">
        <w:rPr>
          <w:rFonts w:ascii="Arial" w:eastAsia="Arial" w:hAnsi="Arial" w:hint="eastAsia"/>
          <w:b/>
          <w:color w:val="888888" w:themeColor="background2" w:themeTint="80"/>
        </w:rPr>
        <w:t>ñ</w:t>
      </w:r>
      <w:r w:rsidRPr="009E7E76">
        <w:rPr>
          <w:rFonts w:ascii="Arial" w:eastAsia="Arial" w:hAnsi="Arial"/>
          <w:b/>
          <w:color w:val="888888" w:themeColor="background2" w:themeTint="80"/>
        </w:rPr>
        <w:t>a</w:t>
      </w:r>
      <w:r w:rsidRPr="007B1BC7">
        <w:rPr>
          <w:rFonts w:ascii="Arial" w:eastAsia="Arial" w:hAnsi="Arial"/>
          <w:color w:val="888888" w:themeColor="background2" w:themeTint="80"/>
        </w:rPr>
        <w:t xml:space="preserve">, </w:t>
      </w:r>
      <w:r w:rsidR="009E7E76">
        <w:rPr>
          <w:rFonts w:ascii="Arial" w:eastAsia="Arial" w:hAnsi="Arial"/>
          <w:color w:val="888888" w:themeColor="background2" w:themeTint="80"/>
        </w:rPr>
        <w:t>se</w:t>
      </w:r>
      <w:r w:rsidRPr="007B1BC7">
        <w:rPr>
          <w:rFonts w:ascii="Arial" w:eastAsia="Arial" w:hAnsi="Arial"/>
          <w:color w:val="888888" w:themeColor="background2" w:themeTint="80"/>
        </w:rPr>
        <w:t xml:space="preserve"> gener</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 un resultado atribuido de 745 millones de euros durante el primer semestre de 2021, muy por encima de los 108 millones de euros alcanzados en el mismo periodo del a</w:t>
      </w:r>
      <w:r w:rsidRPr="007B1BC7">
        <w:rPr>
          <w:rFonts w:ascii="Arial" w:eastAsia="Arial" w:hAnsi="Arial" w:hint="eastAsia"/>
          <w:color w:val="888888" w:themeColor="background2" w:themeTint="80"/>
        </w:rPr>
        <w:t>ñ</w:t>
      </w:r>
      <w:r w:rsidRPr="007B1BC7">
        <w:rPr>
          <w:rFonts w:ascii="Arial" w:eastAsia="Arial" w:hAnsi="Arial"/>
          <w:color w:val="888888" w:themeColor="background2" w:themeTint="80"/>
        </w:rPr>
        <w:t xml:space="preserve">o anterior. </w:t>
      </w:r>
    </w:p>
    <w:p w14:paraId="35BA6CA4" w14:textId="23EAC3A9" w:rsidR="007B1BC7" w:rsidRP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 xml:space="preserve">En </w:t>
      </w:r>
      <w:r w:rsidRPr="009E7E76">
        <w:rPr>
          <w:rFonts w:ascii="Arial" w:eastAsia="Arial" w:hAnsi="Arial"/>
          <w:b/>
          <w:color w:val="888888" w:themeColor="background2" w:themeTint="80"/>
        </w:rPr>
        <w:t>M</w:t>
      </w:r>
      <w:r w:rsidRPr="009E7E76">
        <w:rPr>
          <w:rFonts w:ascii="Arial" w:eastAsia="Arial" w:hAnsi="Arial" w:hint="eastAsia"/>
          <w:b/>
          <w:color w:val="888888" w:themeColor="background2" w:themeTint="80"/>
        </w:rPr>
        <w:t>é</w:t>
      </w:r>
      <w:r w:rsidRPr="009E7E76">
        <w:rPr>
          <w:rFonts w:ascii="Arial" w:eastAsia="Arial" w:hAnsi="Arial"/>
          <w:b/>
          <w:color w:val="888888" w:themeColor="background2" w:themeTint="80"/>
        </w:rPr>
        <w:t>xico</w:t>
      </w:r>
      <w:r w:rsidRPr="007B1BC7">
        <w:rPr>
          <w:rFonts w:ascii="Arial" w:eastAsia="Arial" w:hAnsi="Arial"/>
          <w:color w:val="888888" w:themeColor="background2" w:themeTint="80"/>
        </w:rPr>
        <w:t xml:space="preserve">, </w:t>
      </w:r>
      <w:r w:rsidR="009E7E76">
        <w:rPr>
          <w:rFonts w:ascii="Arial" w:eastAsia="Arial" w:hAnsi="Arial"/>
          <w:color w:val="888888" w:themeColor="background2" w:themeTint="80"/>
        </w:rPr>
        <w:t>e</w:t>
      </w:r>
      <w:r w:rsidRPr="007B1BC7">
        <w:rPr>
          <w:rFonts w:ascii="Arial" w:eastAsia="Arial" w:hAnsi="Arial"/>
          <w:color w:val="888888" w:themeColor="background2" w:themeTint="80"/>
        </w:rPr>
        <w:t>l resultado atribuido ascendi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 a 1.127 millones de euros, un 75% m</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s que en el mismo periodo del a</w:t>
      </w:r>
      <w:r w:rsidRPr="007B1BC7">
        <w:rPr>
          <w:rFonts w:ascii="Arial" w:eastAsia="Arial" w:hAnsi="Arial" w:hint="eastAsia"/>
          <w:color w:val="888888" w:themeColor="background2" w:themeTint="80"/>
        </w:rPr>
        <w:t>ñ</w:t>
      </w:r>
      <w:r w:rsidRPr="007B1BC7">
        <w:rPr>
          <w:rFonts w:ascii="Arial" w:eastAsia="Arial" w:hAnsi="Arial"/>
          <w:color w:val="888888" w:themeColor="background2" w:themeTint="80"/>
        </w:rPr>
        <w:t xml:space="preserve">o pasado. </w:t>
      </w:r>
    </w:p>
    <w:p w14:paraId="6A6026A7" w14:textId="0060F122" w:rsidR="007B1BC7" w:rsidRPr="007B1BC7"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 xml:space="preserve">En </w:t>
      </w:r>
      <w:r w:rsidRPr="009E7E76">
        <w:rPr>
          <w:rFonts w:ascii="Arial" w:eastAsia="Arial" w:hAnsi="Arial"/>
          <w:b/>
          <w:color w:val="888888" w:themeColor="background2" w:themeTint="80"/>
        </w:rPr>
        <w:t>Turqu</w:t>
      </w:r>
      <w:r w:rsidRPr="009E7E76">
        <w:rPr>
          <w:rFonts w:ascii="Arial" w:eastAsia="Arial" w:hAnsi="Arial" w:hint="eastAsia"/>
          <w:b/>
          <w:color w:val="888888" w:themeColor="background2" w:themeTint="80"/>
        </w:rPr>
        <w:t>í</w:t>
      </w:r>
      <w:r w:rsidRPr="009E7E76">
        <w:rPr>
          <w:rFonts w:ascii="Arial" w:eastAsia="Arial" w:hAnsi="Arial"/>
          <w:b/>
          <w:color w:val="888888" w:themeColor="background2" w:themeTint="80"/>
        </w:rPr>
        <w:t>a</w:t>
      </w:r>
      <w:r w:rsidRPr="007B1BC7">
        <w:rPr>
          <w:rFonts w:ascii="Arial" w:eastAsia="Arial" w:hAnsi="Arial"/>
          <w:color w:val="888888" w:themeColor="background2" w:themeTint="80"/>
        </w:rPr>
        <w:t xml:space="preserve">, </w:t>
      </w:r>
      <w:r w:rsidR="009E7E76">
        <w:rPr>
          <w:rFonts w:ascii="Arial" w:eastAsia="Arial" w:hAnsi="Arial"/>
          <w:color w:val="888888" w:themeColor="background2" w:themeTint="80"/>
        </w:rPr>
        <w:t>e</w:t>
      </w:r>
      <w:r w:rsidRPr="007B1BC7">
        <w:rPr>
          <w:rFonts w:ascii="Arial" w:eastAsia="Arial" w:hAnsi="Arial"/>
          <w:color w:val="888888" w:themeColor="background2" w:themeTint="80"/>
        </w:rPr>
        <w:t>l resultado atribuido en el semestre alcanz</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 384 millones de euros, un 92,1% m</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s que en el mismo periodo del a</w:t>
      </w:r>
      <w:r w:rsidRPr="007B1BC7">
        <w:rPr>
          <w:rFonts w:ascii="Arial" w:eastAsia="Arial" w:hAnsi="Arial" w:hint="eastAsia"/>
          <w:color w:val="888888" w:themeColor="background2" w:themeTint="80"/>
        </w:rPr>
        <w:t>ñ</w:t>
      </w:r>
      <w:r w:rsidRPr="007B1BC7">
        <w:rPr>
          <w:rFonts w:ascii="Arial" w:eastAsia="Arial" w:hAnsi="Arial"/>
          <w:color w:val="888888" w:themeColor="background2" w:themeTint="80"/>
        </w:rPr>
        <w:t xml:space="preserve">o anterior. </w:t>
      </w:r>
    </w:p>
    <w:p w14:paraId="63DFD9F9" w14:textId="6B79F1A6" w:rsidR="007B1BC7" w:rsidRPr="00DD7711" w:rsidRDefault="007B1BC7" w:rsidP="007B1BC7">
      <w:pPr>
        <w:jc w:val="both"/>
        <w:rPr>
          <w:rFonts w:ascii="Arial" w:eastAsia="Arial" w:hAnsi="Arial"/>
          <w:color w:val="888888" w:themeColor="background2" w:themeTint="80"/>
        </w:rPr>
      </w:pPr>
      <w:r w:rsidRPr="007B1BC7">
        <w:rPr>
          <w:rFonts w:ascii="Arial" w:eastAsia="Arial" w:hAnsi="Arial"/>
          <w:color w:val="888888" w:themeColor="background2" w:themeTint="80"/>
        </w:rPr>
        <w:t xml:space="preserve">En </w:t>
      </w:r>
      <w:r w:rsidRPr="009E7E76">
        <w:rPr>
          <w:rFonts w:ascii="Arial" w:eastAsia="Arial" w:hAnsi="Arial"/>
          <w:b/>
          <w:color w:val="888888" w:themeColor="background2" w:themeTint="80"/>
        </w:rPr>
        <w:t>Am</w:t>
      </w:r>
      <w:r w:rsidRPr="009E7E76">
        <w:rPr>
          <w:rFonts w:ascii="Arial" w:eastAsia="Arial" w:hAnsi="Arial" w:hint="eastAsia"/>
          <w:b/>
          <w:color w:val="888888" w:themeColor="background2" w:themeTint="80"/>
        </w:rPr>
        <w:t>é</w:t>
      </w:r>
      <w:r w:rsidRPr="009E7E76">
        <w:rPr>
          <w:rFonts w:ascii="Arial" w:eastAsia="Arial" w:hAnsi="Arial"/>
          <w:b/>
          <w:color w:val="888888" w:themeColor="background2" w:themeTint="80"/>
        </w:rPr>
        <w:t>rica del Sur</w:t>
      </w:r>
      <w:r w:rsidR="009E7E76">
        <w:rPr>
          <w:rFonts w:ascii="Arial" w:eastAsia="Arial" w:hAnsi="Arial"/>
          <w:color w:val="888888" w:themeColor="background2" w:themeTint="80"/>
        </w:rPr>
        <w:t xml:space="preserve">, </w:t>
      </w:r>
      <w:r w:rsidR="00CD43E9">
        <w:rPr>
          <w:rFonts w:ascii="Arial" w:eastAsia="Arial" w:hAnsi="Arial"/>
          <w:color w:val="888888" w:themeColor="background2" w:themeTint="80"/>
        </w:rPr>
        <w:t>e</w:t>
      </w:r>
      <w:r w:rsidRPr="007B1BC7">
        <w:rPr>
          <w:rFonts w:ascii="Arial" w:eastAsia="Arial" w:hAnsi="Arial"/>
          <w:color w:val="888888" w:themeColor="background2" w:themeTint="80"/>
        </w:rPr>
        <w:t>l resultado atribuido en el semestre ascendi</w:t>
      </w:r>
      <w:r w:rsidRPr="007B1BC7">
        <w:rPr>
          <w:rFonts w:ascii="Arial" w:eastAsia="Arial" w:hAnsi="Arial" w:hint="eastAsia"/>
          <w:color w:val="888888" w:themeColor="background2" w:themeTint="80"/>
        </w:rPr>
        <w:t>ó</w:t>
      </w:r>
      <w:r w:rsidRPr="007B1BC7">
        <w:rPr>
          <w:rFonts w:ascii="Arial" w:eastAsia="Arial" w:hAnsi="Arial"/>
          <w:color w:val="888888" w:themeColor="background2" w:themeTint="80"/>
        </w:rPr>
        <w:t xml:space="preserve"> a 218 millones de euros, un 110% m</w:t>
      </w:r>
      <w:r w:rsidRPr="007B1BC7">
        <w:rPr>
          <w:rFonts w:ascii="Arial" w:eastAsia="Arial" w:hAnsi="Arial" w:hint="eastAsia"/>
          <w:color w:val="888888" w:themeColor="background2" w:themeTint="80"/>
        </w:rPr>
        <w:t>á</w:t>
      </w:r>
      <w:r w:rsidRPr="007B1BC7">
        <w:rPr>
          <w:rFonts w:ascii="Arial" w:eastAsia="Arial" w:hAnsi="Arial"/>
          <w:color w:val="888888" w:themeColor="background2" w:themeTint="80"/>
        </w:rPr>
        <w:t>s que en el primer semestre de 2020.</w:t>
      </w:r>
    </w:p>
    <w:p w14:paraId="46704FB6" w14:textId="77777777" w:rsidR="00E1157B" w:rsidRPr="00EA1AE5" w:rsidRDefault="00FE4EA2" w:rsidP="00EA1AE5">
      <w:pPr>
        <w:jc w:val="both"/>
        <w:rPr>
          <w:rFonts w:ascii="Arial" w:eastAsia="Arial" w:hAnsi="Arial"/>
          <w:color w:val="888888" w:themeColor="background2" w:themeTint="80"/>
        </w:rPr>
      </w:pPr>
      <w:r w:rsidRPr="008434D3">
        <w:rPr>
          <w:color w:val="888888" w:themeColor="background2" w:themeTint="80"/>
        </w:rPr>
        <w:br w:type="page"/>
      </w:r>
      <w:r>
        <w:rPr>
          <w:rFonts w:ascii="Arial" w:eastAsia="Arial" w:hAnsi="Arial"/>
          <w:color w:val="072146"/>
          <w:sz w:val="36"/>
          <w:szCs w:val="36"/>
        </w:rPr>
        <w:lastRenderedPageBreak/>
        <w:t xml:space="preserve">Acerca de BBVA </w:t>
      </w:r>
    </w:p>
    <w:p w14:paraId="5DAEDF05" w14:textId="77777777" w:rsidR="00E1157B" w:rsidRDefault="00FE4EA2">
      <w:pPr>
        <w:widowControl/>
        <w:spacing w:before="480" w:line="240" w:lineRule="auto"/>
        <w:ind w:right="0"/>
        <w:rPr>
          <w:rFonts w:ascii="Arial" w:eastAsia="Arial" w:hAnsi="Arial"/>
          <w:color w:val="072146"/>
          <w:sz w:val="36"/>
          <w:szCs w:val="36"/>
        </w:rPr>
      </w:pPr>
      <w:r>
        <w:rPr>
          <w:rFonts w:ascii="Arial" w:eastAsia="Arial" w:hAnsi="Arial"/>
          <w:noProof/>
          <w:color w:val="072146"/>
          <w:sz w:val="36"/>
          <w:szCs w:val="36"/>
          <w:lang w:eastAsia="es-CO"/>
        </w:rPr>
        <w:drawing>
          <wp:inline distT="114300" distB="114300" distL="114300" distR="114300" wp14:anchorId="1AFA21A2" wp14:editId="08E8F4EF">
            <wp:extent cx="6215428" cy="355621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15428" cy="3556217"/>
                    </a:xfrm>
                    <a:prstGeom prst="rect">
                      <a:avLst/>
                    </a:prstGeom>
                    <a:ln/>
                  </pic:spPr>
                </pic:pic>
              </a:graphicData>
            </a:graphic>
          </wp:inline>
        </w:drawing>
      </w:r>
    </w:p>
    <w:p w14:paraId="18AE9DDB" w14:textId="77777777" w:rsidR="00E1157B" w:rsidRDefault="00FE4EA2">
      <w:pPr>
        <w:pBdr>
          <w:top w:val="nil"/>
          <w:left w:val="nil"/>
          <w:bottom w:val="nil"/>
          <w:right w:val="nil"/>
          <w:between w:val="nil"/>
        </w:pBdr>
        <w:rPr>
          <w:rFonts w:ascii="Arial" w:eastAsia="Arial" w:hAnsi="Arial"/>
          <w:color w:val="072146"/>
          <w:sz w:val="22"/>
          <w:szCs w:val="22"/>
        </w:rPr>
      </w:pPr>
      <w:bookmarkStart w:id="1" w:name="_heading=h.gjdgxs" w:colFirst="0" w:colLast="0"/>
      <w:bookmarkEnd w:id="1"/>
      <w:r>
        <w:rPr>
          <w:rFonts w:ascii="Arial" w:eastAsia="Arial" w:hAnsi="Arial"/>
          <w:color w:val="072146"/>
          <w:sz w:val="22"/>
          <w:szCs w:val="22"/>
        </w:rPr>
        <w:t xml:space="preserve">BBVA es un grupo financiero global fundado en 1857 con una visión centrada en el cliente. Tiene una posición de liderazgo en el mercado español, es la mayor institución financiera de México y cuenta con franquicias líder en América del Sur. Además, es el primer accionista de </w:t>
      </w:r>
      <w:proofErr w:type="spellStart"/>
      <w:r>
        <w:rPr>
          <w:rFonts w:ascii="Arial" w:eastAsia="Arial" w:hAnsi="Arial"/>
          <w:color w:val="072146"/>
          <w:sz w:val="22"/>
          <w:szCs w:val="22"/>
        </w:rPr>
        <w:t>Garanti</w:t>
      </w:r>
      <w:proofErr w:type="spellEnd"/>
      <w:r>
        <w:rPr>
          <w:rFonts w:ascii="Arial" w:eastAsia="Arial" w:hAnsi="Arial"/>
          <w:color w:val="072146"/>
          <w:sz w:val="22"/>
          <w:szCs w:val="22"/>
        </w:rPr>
        <w:t xml:space="preserve"> BBVA, en Turquía. Su propósito es poner al alcance de </w:t>
      </w:r>
      <w:proofErr w:type="gramStart"/>
      <w:r>
        <w:rPr>
          <w:rFonts w:ascii="Arial" w:eastAsia="Arial" w:hAnsi="Arial"/>
          <w:color w:val="072146"/>
          <w:sz w:val="22"/>
          <w:szCs w:val="22"/>
        </w:rPr>
        <w:t>todos</w:t>
      </w:r>
      <w:proofErr w:type="gramEnd"/>
      <w:r>
        <w:rPr>
          <w:rFonts w:ascii="Arial" w:eastAsia="Arial" w:hAnsi="Arial"/>
          <w:color w:val="072146"/>
          <w:sz w:val="22"/>
          <w:szCs w:val="22"/>
        </w:rPr>
        <w:t xml:space="preserve">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14:paraId="7DEAA8A1" w14:textId="77777777" w:rsidR="00E1157B" w:rsidRDefault="00FE4EA2">
      <w:pPr>
        <w:pBdr>
          <w:top w:val="nil"/>
          <w:left w:val="nil"/>
          <w:bottom w:val="nil"/>
          <w:right w:val="nil"/>
          <w:between w:val="nil"/>
        </w:pBdr>
        <w:rPr>
          <w:rFonts w:ascii="Arial" w:eastAsia="Arial" w:hAnsi="Arial"/>
          <w:color w:val="072146"/>
          <w:sz w:val="22"/>
          <w:szCs w:val="22"/>
        </w:rPr>
      </w:pPr>
      <w:r>
        <w:rPr>
          <w:rFonts w:ascii="Arial" w:eastAsia="Arial" w:hAnsi="Arial"/>
          <w:b/>
          <w:color w:val="072146"/>
          <w:sz w:val="22"/>
          <w:szCs w:val="22"/>
        </w:rPr>
        <w:t>BBVA en Colombia</w:t>
      </w:r>
      <w:r>
        <w:rPr>
          <w:rFonts w:ascii="Arial" w:eastAsia="Arial" w:hAnsi="Arial"/>
          <w:color w:val="072146"/>
          <w:sz w:val="22"/>
          <w:szCs w:val="22"/>
        </w:rPr>
        <w:t xml:space="preserve"> tiene presencia en todo el territorio nacional a través de 534 oficinas y centros de atención y 1.350 cajeros automáticos. Al cierre de 2020, la entidad reportó activos por 68,4 billones de pesos y una cartera de créditos de 50,9 billones de pesos. Cuenta con una base de clientes cercana a tres millones de colombianos, de los cuales dos millones son clientes móviles. BBVA tiene una planta de 5.052 colaboradores de los cuales cerca del 60% son mujeres.  </w:t>
      </w:r>
    </w:p>
    <w:p w14:paraId="2E543308" w14:textId="77777777" w:rsidR="00E1157B" w:rsidRDefault="00FE4EA2">
      <w:pPr>
        <w:pBdr>
          <w:top w:val="nil"/>
          <w:left w:val="nil"/>
          <w:bottom w:val="nil"/>
          <w:right w:val="nil"/>
          <w:between w:val="nil"/>
        </w:pBdr>
        <w:rPr>
          <w:rFonts w:ascii="Arial" w:eastAsia="Arial" w:hAnsi="Arial"/>
        </w:rPr>
      </w:pPr>
      <w:r>
        <w:rPr>
          <w:rFonts w:ascii="Arial" w:eastAsia="Arial" w:hAnsi="Arial"/>
          <w:color w:val="072146"/>
          <w:sz w:val="22"/>
          <w:szCs w:val="22"/>
        </w:rPr>
        <w:t>Gestiona iniciativas que contribuyan al desarrollo económico y social del país de manera sostenible con foco en tres ejes: iniciativas que contribuyan a reducir la desigualdad y el apoyo a comunidades vulnerables; impulso a la educación y promoción de la sostenibilidad. Para el primer semestre del año logró operaciones por 1 billón de pesos en financiación sostenible.</w:t>
      </w:r>
    </w:p>
    <w:p w14:paraId="6F368E33" w14:textId="77777777" w:rsidR="00E1157B" w:rsidRDefault="00E1157B">
      <w:pPr>
        <w:rPr>
          <w:rFonts w:ascii="Arial" w:eastAsia="Arial" w:hAnsi="Arial"/>
        </w:rPr>
      </w:pPr>
    </w:p>
    <w:sectPr w:rsidR="00E1157B">
      <w:headerReference w:type="default" r:id="rId9"/>
      <w:headerReference w:type="first" r:id="rId10"/>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EA9C" w14:textId="77777777" w:rsidR="00AE345F" w:rsidRDefault="00AE345F">
      <w:pPr>
        <w:spacing w:after="0" w:line="240" w:lineRule="auto"/>
      </w:pPr>
      <w:r>
        <w:separator/>
      </w:r>
    </w:p>
  </w:endnote>
  <w:endnote w:type="continuationSeparator" w:id="0">
    <w:p w14:paraId="3F3769DE" w14:textId="77777777" w:rsidR="00AE345F" w:rsidRDefault="00AE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BVABentonSansLigh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BVABentonSans">
    <w:altName w:val="Times New Roman"/>
    <w:charset w:val="00"/>
    <w:family w:val="auto"/>
    <w:pitch w:val="variable"/>
    <w:sig w:usb0="A00000BF" w:usb1="5000A04B" w:usb2="00000000" w:usb3="00000000" w:csb0="00000093" w:csb1="00000000"/>
  </w:font>
  <w:font w:name="Lucida Grande">
    <w:altName w:val="Times New Roman"/>
    <w:panose1 w:val="00000000000000000000"/>
    <w:charset w:val="00"/>
    <w:family w:val="roman"/>
    <w:notTrueType/>
    <w:pitch w:val="default"/>
  </w:font>
  <w:font w:name="Stag Sans Book">
    <w:altName w:val="Stag Sans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F33B" w14:textId="77777777" w:rsidR="00AE345F" w:rsidRDefault="00AE345F">
      <w:pPr>
        <w:spacing w:after="0" w:line="240" w:lineRule="auto"/>
      </w:pPr>
      <w:r>
        <w:separator/>
      </w:r>
    </w:p>
  </w:footnote>
  <w:footnote w:type="continuationSeparator" w:id="0">
    <w:p w14:paraId="66F571A7" w14:textId="77777777" w:rsidR="00AE345F" w:rsidRDefault="00AE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A1EE" w14:textId="77777777" w:rsidR="00E1157B" w:rsidRDefault="00FE4EA2">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14:anchorId="61DAE5F7" wp14:editId="25B52AF8">
          <wp:simplePos x="0" y="0"/>
          <wp:positionH relativeFrom="column">
            <wp:posOffset>4</wp:posOffset>
          </wp:positionH>
          <wp:positionV relativeFrom="paragraph">
            <wp:posOffset>0</wp:posOffset>
          </wp:positionV>
          <wp:extent cx="2073600" cy="53280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2FEB019A" w14:textId="77777777"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65A93820" w14:textId="77777777"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27DB12E5" w14:textId="77777777"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1A70AAEB" w14:textId="77777777" w:rsidR="00E1157B" w:rsidRDefault="00E1157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6F59B709" w14:textId="35078142" w:rsidR="00E1157B" w:rsidRDefault="007B1BC7">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30</w:t>
    </w:r>
    <w:r w:rsidR="001C6537">
      <w:rPr>
        <w:rFonts w:ascii="Arial" w:eastAsia="Arial" w:hAnsi="Arial"/>
        <w:color w:val="072146"/>
        <w:sz w:val="20"/>
        <w:szCs w:val="20"/>
      </w:rPr>
      <w:t>.07</w:t>
    </w:r>
    <w:r w:rsidR="00FE4EA2">
      <w:rPr>
        <w:rFonts w:ascii="Arial" w:eastAsia="Arial" w:hAnsi="Arial"/>
        <w:color w:val="072146"/>
        <w:sz w:val="20"/>
        <w:szCs w:val="20"/>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B988" w14:textId="77777777" w:rsidR="00E1157B" w:rsidRDefault="00FE4EA2">
    <w:pPr>
      <w:widowControl/>
      <w:pBdr>
        <w:top w:val="nil"/>
        <w:left w:val="nil"/>
        <w:bottom w:val="nil"/>
        <w:right w:val="nil"/>
        <w:between w:val="nil"/>
      </w:pBdr>
      <w:spacing w:after="0" w:line="240" w:lineRule="auto"/>
      <w:ind w:right="0"/>
      <w:jc w:val="right"/>
      <w:rPr>
        <w:rFonts w:ascii="Arial" w:eastAsia="Arial" w:hAnsi="Arial"/>
        <w:color w:val="02A5A5"/>
        <w:sz w:val="32"/>
        <w:szCs w:val="32"/>
      </w:rPr>
    </w:pPr>
    <w:r>
      <w:rPr>
        <w:rFonts w:ascii="Arial" w:eastAsia="Arial" w:hAnsi="Arial"/>
        <w:color w:val="02A5A5"/>
        <w:sz w:val="32"/>
        <w:szCs w:val="32"/>
      </w:rPr>
      <w:t>Nota de prensa</w:t>
    </w:r>
    <w:r>
      <w:rPr>
        <w:noProof/>
        <w:lang w:eastAsia="es-CO"/>
      </w:rPr>
      <w:drawing>
        <wp:anchor distT="0" distB="0" distL="114300" distR="114300" simplePos="0" relativeHeight="251659264" behindDoc="0" locked="0" layoutInCell="1" hidden="0" allowOverlap="1" wp14:anchorId="323E37B3" wp14:editId="17EB8C12">
          <wp:simplePos x="0" y="0"/>
          <wp:positionH relativeFrom="column">
            <wp:posOffset>4</wp:posOffset>
          </wp:positionH>
          <wp:positionV relativeFrom="paragraph">
            <wp:posOffset>0</wp:posOffset>
          </wp:positionV>
          <wp:extent cx="2073600" cy="5328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75627F27" w14:textId="77777777" w:rsidR="00E1157B" w:rsidRDefault="00FE4EA2">
    <w:pPr>
      <w:widowControl/>
      <w:pBdr>
        <w:top w:val="nil"/>
        <w:left w:val="nil"/>
        <w:bottom w:val="nil"/>
        <w:right w:val="nil"/>
        <w:between w:val="nil"/>
      </w:pBdr>
      <w:tabs>
        <w:tab w:val="left" w:pos="7490"/>
      </w:tabs>
      <w:spacing w:after="0" w:line="240" w:lineRule="auto"/>
      <w:ind w:right="0"/>
      <w:rPr>
        <w:rFonts w:ascii="Arial" w:eastAsia="Arial" w:hAnsi="Arial"/>
        <w:color w:val="072146"/>
        <w:sz w:val="20"/>
        <w:szCs w:val="20"/>
      </w:rPr>
    </w:pPr>
    <w:r>
      <w:rPr>
        <w:rFonts w:ascii="Arial" w:eastAsia="Arial" w:hAnsi="Arial"/>
        <w:color w:val="072146"/>
        <w:sz w:val="20"/>
        <w:szCs w:val="20"/>
      </w:rPr>
      <w:tab/>
    </w:r>
  </w:p>
  <w:p w14:paraId="5EB4F8D2" w14:textId="77777777" w:rsidR="00E1157B" w:rsidRDefault="00E1157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14:paraId="5FBA81A7" w14:textId="77777777" w:rsidR="00E1157B" w:rsidRDefault="00E1157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14:paraId="110CDD0E" w14:textId="77777777" w:rsidR="00E1157B" w:rsidRDefault="00E1157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14:paraId="3F8F78A0" w14:textId="61EF8D3F" w:rsidR="00BC271E" w:rsidRDefault="007B1BC7" w:rsidP="00BC271E">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30</w:t>
    </w:r>
    <w:r w:rsidR="001C6537">
      <w:rPr>
        <w:rFonts w:ascii="Arial" w:eastAsia="Arial" w:hAnsi="Arial"/>
        <w:color w:val="072146"/>
        <w:sz w:val="20"/>
        <w:szCs w:val="20"/>
      </w:rPr>
      <w:t>.07</w:t>
    </w:r>
    <w:r w:rsidR="00BC271E">
      <w:rPr>
        <w:rFonts w:ascii="Arial" w:eastAsia="Arial" w:hAnsi="Arial"/>
        <w:color w:val="072146"/>
        <w:sz w:val="20"/>
        <w:szCs w:val="20"/>
      </w:rPr>
      <w:t>.2021</w:t>
    </w:r>
  </w:p>
  <w:p w14:paraId="688875E9" w14:textId="546EF3E5" w:rsidR="00E1157B" w:rsidRDefault="00E1157B" w:rsidP="00BC271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69A"/>
    <w:multiLevelType w:val="multilevel"/>
    <w:tmpl w:val="ECE23E0E"/>
    <w:lvl w:ilvl="0">
      <w:start w:val="1"/>
      <w:numFmt w:val="bullet"/>
      <w:lvlText w:val="▪"/>
      <w:lvlJc w:val="left"/>
      <w:pPr>
        <w:ind w:left="360" w:hanging="360"/>
      </w:pPr>
      <w:rPr>
        <w:rFonts w:ascii="Noto Sans Symbols" w:eastAsia="Noto Sans Symbols" w:hAnsi="Noto Sans Symbols" w:cs="Noto Sans Symbols"/>
        <w:color w:val="2DCCCD"/>
        <w:sz w:val="40"/>
        <w:szCs w:val="4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4A060B"/>
    <w:multiLevelType w:val="multilevel"/>
    <w:tmpl w:val="E5F81004"/>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EA457B"/>
    <w:multiLevelType w:val="multilevel"/>
    <w:tmpl w:val="974CBE2E"/>
    <w:lvl w:ilvl="0">
      <w:start w:val="1"/>
      <w:numFmt w:val="bullet"/>
      <w:lvlText w:val="▰"/>
      <w:lvlJc w:val="left"/>
      <w:pPr>
        <w:ind w:left="360" w:hanging="360"/>
      </w:pPr>
      <w:rPr>
        <w:rFonts w:ascii="Noto Sans Symbols" w:eastAsia="Noto Sans Symbols" w:hAnsi="Noto Sans Symbols" w:cs="Noto Sans Symbols"/>
        <w:color w:val="2DCCCD"/>
        <w:sz w:val="24"/>
        <w:szCs w:val="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C2B7B29"/>
    <w:multiLevelType w:val="hybridMultilevel"/>
    <w:tmpl w:val="FB62ACA0"/>
    <w:lvl w:ilvl="0" w:tplc="0D7C9B8E">
      <w:start w:val="7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7B"/>
    <w:rsid w:val="00057880"/>
    <w:rsid w:val="000B6E49"/>
    <w:rsid w:val="001B3A6F"/>
    <w:rsid w:val="001C6537"/>
    <w:rsid w:val="001D0D48"/>
    <w:rsid w:val="002269E6"/>
    <w:rsid w:val="00292655"/>
    <w:rsid w:val="002B238C"/>
    <w:rsid w:val="00323268"/>
    <w:rsid w:val="003A3239"/>
    <w:rsid w:val="003C4AFD"/>
    <w:rsid w:val="005E2125"/>
    <w:rsid w:val="005F5503"/>
    <w:rsid w:val="0068608B"/>
    <w:rsid w:val="006B2882"/>
    <w:rsid w:val="007A67F6"/>
    <w:rsid w:val="007B1BC7"/>
    <w:rsid w:val="00824C69"/>
    <w:rsid w:val="008434D3"/>
    <w:rsid w:val="00891534"/>
    <w:rsid w:val="008C180D"/>
    <w:rsid w:val="008F79AD"/>
    <w:rsid w:val="009E7E76"/>
    <w:rsid w:val="009F5333"/>
    <w:rsid w:val="00A05903"/>
    <w:rsid w:val="00A11409"/>
    <w:rsid w:val="00A4621A"/>
    <w:rsid w:val="00A64823"/>
    <w:rsid w:val="00A76375"/>
    <w:rsid w:val="00A77179"/>
    <w:rsid w:val="00AE345F"/>
    <w:rsid w:val="00B47B60"/>
    <w:rsid w:val="00B508CC"/>
    <w:rsid w:val="00B57EF7"/>
    <w:rsid w:val="00B929A1"/>
    <w:rsid w:val="00BB1D50"/>
    <w:rsid w:val="00BC271E"/>
    <w:rsid w:val="00C23C5F"/>
    <w:rsid w:val="00C35E11"/>
    <w:rsid w:val="00CC0CFF"/>
    <w:rsid w:val="00CD43E9"/>
    <w:rsid w:val="00D0519C"/>
    <w:rsid w:val="00D109A9"/>
    <w:rsid w:val="00DC33F8"/>
    <w:rsid w:val="00DD7711"/>
    <w:rsid w:val="00DE1F1A"/>
    <w:rsid w:val="00E1157B"/>
    <w:rsid w:val="00EA1AE5"/>
    <w:rsid w:val="00EA3C27"/>
    <w:rsid w:val="00F01498"/>
    <w:rsid w:val="00F21D5C"/>
    <w:rsid w:val="00F72FFA"/>
    <w:rsid w:val="00FC5962"/>
    <w:rsid w:val="00FE4426"/>
    <w:rsid w:val="00FE4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CABE"/>
  <w15:docId w15:val="{CFFAFCA8-5C99-408F-B84F-179C4CBD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s-CO"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8F7757"/>
    <w:rPr>
      <w:sz w:val="16"/>
      <w:szCs w:val="16"/>
    </w:rPr>
  </w:style>
  <w:style w:type="paragraph" w:styleId="Textocomentario">
    <w:name w:val="annotation text"/>
    <w:basedOn w:val="Normal"/>
    <w:link w:val="TextocomentarioCar"/>
    <w:uiPriority w:val="99"/>
    <w:semiHidden/>
    <w:unhideWhenUsed/>
    <w:rsid w:val="008F7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757"/>
    <w:rPr>
      <w:rFonts w:asciiTheme="minorHAnsi" w:eastAsia="Times" w:hAnsiTheme="minorHAnsi" w:cs="Arial"/>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8F7757"/>
    <w:rPr>
      <w:b/>
      <w:bCs/>
    </w:rPr>
  </w:style>
  <w:style w:type="character" w:customStyle="1" w:styleId="AsuntodelcomentarioCar">
    <w:name w:val="Asunto del comentario Car"/>
    <w:basedOn w:val="TextocomentarioCar"/>
    <w:link w:val="Asuntodelcomentario"/>
    <w:uiPriority w:val="99"/>
    <w:semiHidden/>
    <w:rsid w:val="008F7757"/>
    <w:rPr>
      <w:rFonts w:asciiTheme="minorHAnsi" w:eastAsia="Times" w:hAnsiTheme="minorHAnsi" w:cs="Arial"/>
      <w:b/>
      <w:bCs/>
      <w:sz w:val="20"/>
      <w:szCs w:val="20"/>
      <w:lang w:val="es-CO" w:eastAsia="es-ES_tradnl"/>
    </w:rPr>
  </w:style>
  <w:style w:type="paragraph" w:styleId="NormalWeb">
    <w:name w:val="Normal (Web)"/>
    <w:basedOn w:val="Normal"/>
    <w:uiPriority w:val="99"/>
    <w:semiHidden/>
    <w:unhideWhenUsed/>
    <w:rsid w:val="005F5503"/>
    <w:pPr>
      <w:widowControl/>
      <w:autoSpaceDE/>
      <w:autoSpaceDN/>
      <w:adjustRightInd/>
      <w:spacing w:before="100" w:beforeAutospacing="1" w:after="100" w:afterAutospacing="1" w:line="240" w:lineRule="auto"/>
      <w:ind w:right="0"/>
    </w:pPr>
    <w:rPr>
      <w:rFonts w:ascii="Times New Roman" w:eastAsia="Times New Roman" w:hAnsi="Times New Roman" w:cs="Times New Roman"/>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0783">
      <w:bodyDiv w:val="1"/>
      <w:marLeft w:val="0"/>
      <w:marRight w:val="0"/>
      <w:marTop w:val="0"/>
      <w:marBottom w:val="0"/>
      <w:divBdr>
        <w:top w:val="none" w:sz="0" w:space="0" w:color="auto"/>
        <w:left w:val="none" w:sz="0" w:space="0" w:color="auto"/>
        <w:bottom w:val="none" w:sz="0" w:space="0" w:color="auto"/>
        <w:right w:val="none" w:sz="0" w:space="0" w:color="auto"/>
      </w:divBdr>
      <w:divsChild>
        <w:div w:id="1133401769">
          <w:marLeft w:val="0"/>
          <w:marRight w:val="0"/>
          <w:marTop w:val="0"/>
          <w:marBottom w:val="0"/>
          <w:divBdr>
            <w:top w:val="none" w:sz="0" w:space="0" w:color="auto"/>
            <w:left w:val="none" w:sz="0" w:space="0" w:color="auto"/>
            <w:bottom w:val="none" w:sz="0" w:space="0" w:color="auto"/>
            <w:right w:val="none" w:sz="0" w:space="0" w:color="auto"/>
          </w:divBdr>
        </w:div>
      </w:divsChild>
    </w:div>
    <w:div w:id="365181117">
      <w:bodyDiv w:val="1"/>
      <w:marLeft w:val="0"/>
      <w:marRight w:val="0"/>
      <w:marTop w:val="0"/>
      <w:marBottom w:val="0"/>
      <w:divBdr>
        <w:top w:val="none" w:sz="0" w:space="0" w:color="auto"/>
        <w:left w:val="none" w:sz="0" w:space="0" w:color="auto"/>
        <w:bottom w:val="none" w:sz="0" w:space="0" w:color="auto"/>
        <w:right w:val="none" w:sz="0" w:space="0" w:color="auto"/>
      </w:divBdr>
    </w:div>
    <w:div w:id="823930092">
      <w:bodyDiv w:val="1"/>
      <w:marLeft w:val="0"/>
      <w:marRight w:val="0"/>
      <w:marTop w:val="0"/>
      <w:marBottom w:val="0"/>
      <w:divBdr>
        <w:top w:val="none" w:sz="0" w:space="0" w:color="auto"/>
        <w:left w:val="none" w:sz="0" w:space="0" w:color="auto"/>
        <w:bottom w:val="none" w:sz="0" w:space="0" w:color="auto"/>
        <w:right w:val="none" w:sz="0" w:space="0" w:color="auto"/>
      </w:divBdr>
    </w:div>
    <w:div w:id="941835804">
      <w:bodyDiv w:val="1"/>
      <w:marLeft w:val="0"/>
      <w:marRight w:val="0"/>
      <w:marTop w:val="0"/>
      <w:marBottom w:val="0"/>
      <w:divBdr>
        <w:top w:val="none" w:sz="0" w:space="0" w:color="auto"/>
        <w:left w:val="none" w:sz="0" w:space="0" w:color="auto"/>
        <w:bottom w:val="none" w:sz="0" w:space="0" w:color="auto"/>
        <w:right w:val="none" w:sz="0" w:space="0" w:color="auto"/>
      </w:divBdr>
    </w:div>
    <w:div w:id="1081029211">
      <w:bodyDiv w:val="1"/>
      <w:marLeft w:val="0"/>
      <w:marRight w:val="0"/>
      <w:marTop w:val="0"/>
      <w:marBottom w:val="0"/>
      <w:divBdr>
        <w:top w:val="none" w:sz="0" w:space="0" w:color="auto"/>
        <w:left w:val="none" w:sz="0" w:space="0" w:color="auto"/>
        <w:bottom w:val="none" w:sz="0" w:space="0" w:color="auto"/>
        <w:right w:val="none" w:sz="0" w:space="0" w:color="auto"/>
      </w:divBdr>
    </w:div>
    <w:div w:id="1084256315">
      <w:bodyDiv w:val="1"/>
      <w:marLeft w:val="0"/>
      <w:marRight w:val="0"/>
      <w:marTop w:val="0"/>
      <w:marBottom w:val="0"/>
      <w:divBdr>
        <w:top w:val="none" w:sz="0" w:space="0" w:color="auto"/>
        <w:left w:val="none" w:sz="0" w:space="0" w:color="auto"/>
        <w:bottom w:val="none" w:sz="0" w:space="0" w:color="auto"/>
        <w:right w:val="none" w:sz="0" w:space="0" w:color="auto"/>
      </w:divBdr>
    </w:div>
    <w:div w:id="1098212679">
      <w:bodyDiv w:val="1"/>
      <w:marLeft w:val="0"/>
      <w:marRight w:val="0"/>
      <w:marTop w:val="0"/>
      <w:marBottom w:val="0"/>
      <w:divBdr>
        <w:top w:val="none" w:sz="0" w:space="0" w:color="auto"/>
        <w:left w:val="none" w:sz="0" w:space="0" w:color="auto"/>
        <w:bottom w:val="none" w:sz="0" w:space="0" w:color="auto"/>
        <w:right w:val="none" w:sz="0" w:space="0" w:color="auto"/>
      </w:divBdr>
      <w:divsChild>
        <w:div w:id="1626307004">
          <w:marLeft w:val="0"/>
          <w:marRight w:val="0"/>
          <w:marTop w:val="0"/>
          <w:marBottom w:val="0"/>
          <w:divBdr>
            <w:top w:val="none" w:sz="0" w:space="0" w:color="auto"/>
            <w:left w:val="none" w:sz="0" w:space="0" w:color="auto"/>
            <w:bottom w:val="none" w:sz="0" w:space="0" w:color="auto"/>
            <w:right w:val="none" w:sz="0" w:space="0" w:color="auto"/>
          </w:divBdr>
        </w:div>
      </w:divsChild>
    </w:div>
    <w:div w:id="1126582542">
      <w:bodyDiv w:val="1"/>
      <w:marLeft w:val="0"/>
      <w:marRight w:val="0"/>
      <w:marTop w:val="0"/>
      <w:marBottom w:val="0"/>
      <w:divBdr>
        <w:top w:val="none" w:sz="0" w:space="0" w:color="auto"/>
        <w:left w:val="none" w:sz="0" w:space="0" w:color="auto"/>
        <w:bottom w:val="none" w:sz="0" w:space="0" w:color="auto"/>
        <w:right w:val="none" w:sz="0" w:space="0" w:color="auto"/>
      </w:divBdr>
    </w:div>
    <w:div w:id="1181313385">
      <w:bodyDiv w:val="1"/>
      <w:marLeft w:val="0"/>
      <w:marRight w:val="0"/>
      <w:marTop w:val="0"/>
      <w:marBottom w:val="0"/>
      <w:divBdr>
        <w:top w:val="none" w:sz="0" w:space="0" w:color="auto"/>
        <w:left w:val="none" w:sz="0" w:space="0" w:color="auto"/>
        <w:bottom w:val="none" w:sz="0" w:space="0" w:color="auto"/>
        <w:right w:val="none" w:sz="0" w:space="0" w:color="auto"/>
      </w:divBdr>
    </w:div>
    <w:div w:id="1603411738">
      <w:bodyDiv w:val="1"/>
      <w:marLeft w:val="0"/>
      <w:marRight w:val="0"/>
      <w:marTop w:val="0"/>
      <w:marBottom w:val="0"/>
      <w:divBdr>
        <w:top w:val="none" w:sz="0" w:space="0" w:color="auto"/>
        <w:left w:val="none" w:sz="0" w:space="0" w:color="auto"/>
        <w:bottom w:val="none" w:sz="0" w:space="0" w:color="auto"/>
        <w:right w:val="none" w:sz="0" w:space="0" w:color="auto"/>
      </w:divBdr>
    </w:div>
    <w:div w:id="2003316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V2LF2xm1a5IQcI6HUYZtTBFlQ==">AMUW2mWD7U8q2Ptd8WTrZ/yhuzUoqN+ceErzby4EPqppTrz8yXfC4hsbh8rs1tGou5eFyJcQyxuFTBMEQACQ5fGi1TBwp7PI3h5FzjWKR/6OgS1brdqCU0Qejbu7NhcZxFSAhifatlXlNLgxpdcAhf8wGZtC4eGYga+NFopOfYB2JXZ22PSSUPI=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CANFRANC, MIGUEL</dc:creator>
  <cp:lastModifiedBy>MARIA CAROLINA RAMIREZ BONILLA</cp:lastModifiedBy>
  <cp:revision>2</cp:revision>
  <dcterms:created xsi:type="dcterms:W3CDTF">2021-07-30T12:47:00Z</dcterms:created>
  <dcterms:modified xsi:type="dcterms:W3CDTF">2021-07-30T12:47:00Z</dcterms:modified>
</cp:coreProperties>
</file>