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61AAF" w:rsidRDefault="00646944">
      <w:pPr>
        <w:pBdr>
          <w:top w:val="nil"/>
          <w:left w:val="nil"/>
          <w:bottom w:val="none" w:sz="0" w:space="12" w:color="000000"/>
          <w:right w:val="nil"/>
          <w:between w:val="nil"/>
        </w:pBdr>
        <w:shd w:val="clear" w:color="auto" w:fill="FFFFFF"/>
        <w:spacing w:before="360" w:line="331" w:lineRule="auto"/>
        <w:jc w:val="center"/>
        <w:rPr>
          <w:rFonts w:ascii="Trebuchet MS" w:eastAsia="Trebuchet MS" w:hAnsi="Trebuchet MS" w:cs="Trebuchet MS"/>
          <w:b/>
          <w:color w:val="333333"/>
        </w:rPr>
      </w:pPr>
      <w:r>
        <w:rPr>
          <w:rFonts w:ascii="Trebuchet MS" w:eastAsia="Trebuchet MS" w:hAnsi="Trebuchet MS" w:cs="Trebuchet MS"/>
          <w:b/>
          <w:color w:val="333333"/>
        </w:rPr>
        <w:t xml:space="preserve">Por quinto año consecutivo, Davivienda Corredores es reconocida en los Global </w:t>
      </w:r>
      <w:proofErr w:type="spellStart"/>
      <w:r>
        <w:rPr>
          <w:rFonts w:ascii="Trebuchet MS" w:eastAsia="Trebuchet MS" w:hAnsi="Trebuchet MS" w:cs="Trebuchet MS"/>
          <w:b/>
          <w:color w:val="333333"/>
        </w:rPr>
        <w:t>Banking</w:t>
      </w:r>
      <w:proofErr w:type="spellEnd"/>
      <w:r>
        <w:rPr>
          <w:rFonts w:ascii="Trebuchet MS" w:eastAsia="Trebuchet MS" w:hAnsi="Trebuchet MS" w:cs="Trebuchet MS"/>
          <w:b/>
          <w:color w:val="333333"/>
        </w:rPr>
        <w:t xml:space="preserve"> &amp; Finance Awards 202</w:t>
      </w:r>
      <w:r>
        <w:rPr>
          <w:rFonts w:ascii="Trebuchet MS" w:eastAsia="Trebuchet MS" w:hAnsi="Trebuchet MS" w:cs="Trebuchet MS"/>
          <w:b/>
          <w:color w:val="000000"/>
        </w:rPr>
        <w:t>1</w:t>
      </w:r>
      <w:r>
        <w:rPr>
          <w:rFonts w:ascii="Trebuchet MS" w:eastAsia="Trebuchet MS" w:hAnsi="Trebuchet MS" w:cs="Trebuchet MS"/>
          <w:b/>
          <w:color w:val="333333"/>
        </w:rPr>
        <w:t xml:space="preserve"> como la “Comisionista de Bolsa del año” en Colombia </w:t>
      </w:r>
    </w:p>
    <w:p w14:paraId="00000002" w14:textId="77777777" w:rsidR="00061AAF" w:rsidRDefault="00646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31" w:lineRule="auto"/>
        <w:jc w:val="both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  <w:highlight w:val="white"/>
        </w:rPr>
        <w:t xml:space="preserve">Davivienda Corredores fue galardonada </w:t>
      </w:r>
      <w:r>
        <w:rPr>
          <w:rFonts w:ascii="Trebuchet MS" w:eastAsia="Trebuchet MS" w:hAnsi="Trebuchet MS" w:cs="Trebuchet MS"/>
          <w:color w:val="333333"/>
        </w:rPr>
        <w:t>e</w:t>
      </w:r>
      <w:r>
        <w:rPr>
          <w:rFonts w:ascii="Trebuchet MS" w:eastAsia="Trebuchet MS" w:hAnsi="Trebuchet MS" w:cs="Trebuchet MS"/>
          <w:color w:val="333333"/>
        </w:rPr>
        <w:t xml:space="preserve">n 3 categorías en los Global </w:t>
      </w:r>
      <w:proofErr w:type="spellStart"/>
      <w:r>
        <w:rPr>
          <w:rFonts w:ascii="Trebuchet MS" w:eastAsia="Trebuchet MS" w:hAnsi="Trebuchet MS" w:cs="Trebuchet MS"/>
          <w:color w:val="333333"/>
        </w:rPr>
        <w:t>Banking</w:t>
      </w:r>
      <w:proofErr w:type="spellEnd"/>
      <w:r>
        <w:rPr>
          <w:rFonts w:ascii="Trebuchet MS" w:eastAsia="Trebuchet MS" w:hAnsi="Trebuchet MS" w:cs="Trebuchet MS"/>
          <w:color w:val="333333"/>
        </w:rPr>
        <w:t xml:space="preserve"> &amp; Finance Awards 2021, llevados a cabo por la prestigiosa publicación internacional</w:t>
      </w:r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The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</w:rPr>
        <w:t>European</w:t>
      </w:r>
      <w:proofErr w:type="spellEnd"/>
      <w:r>
        <w:rPr>
          <w:rFonts w:ascii="Trebuchet MS" w:eastAsia="Trebuchet MS" w:hAnsi="Trebuchet MS" w:cs="Trebuchet MS"/>
          <w:color w:val="000000"/>
        </w:rPr>
        <w:t xml:space="preserve"> Magazine</w:t>
      </w:r>
      <w:r>
        <w:rPr>
          <w:rFonts w:ascii="Trebuchet MS" w:eastAsia="Trebuchet MS" w:hAnsi="Trebuchet MS" w:cs="Trebuchet MS"/>
        </w:rPr>
        <w:t xml:space="preserve"> del grupo </w:t>
      </w:r>
      <w:r>
        <w:rPr>
          <w:rFonts w:ascii="Trebuchet MS" w:eastAsia="Trebuchet MS" w:hAnsi="Trebuchet MS" w:cs="Trebuchet MS"/>
          <w:color w:val="333333"/>
          <w:highlight w:val="white"/>
        </w:rPr>
        <w:t>Thomson Reuters</w:t>
      </w:r>
      <w:r>
        <w:rPr>
          <w:rFonts w:ascii="Trebuchet MS" w:eastAsia="Trebuchet MS" w:hAnsi="Trebuchet MS" w:cs="Trebuchet MS"/>
          <w:color w:val="333333"/>
          <w:highlight w:val="white"/>
        </w:rPr>
        <w:t>. La firma fue seleccionada como la</w:t>
      </w:r>
      <w:r>
        <w:rPr>
          <w:rFonts w:ascii="Trebuchet MS" w:eastAsia="Trebuchet MS" w:hAnsi="Trebuchet MS" w:cs="Trebuchet MS"/>
          <w:color w:val="333333"/>
          <w:highlight w:val="white"/>
        </w:rPr>
        <w:t xml:space="preserve"> Comisionista de Bolsa del a</w:t>
      </w:r>
      <w:r>
        <w:rPr>
          <w:rFonts w:ascii="Trebuchet MS" w:eastAsia="Trebuchet MS" w:hAnsi="Trebuchet MS" w:cs="Trebuchet MS"/>
          <w:color w:val="333333"/>
        </w:rPr>
        <w:t xml:space="preserve">ño en el país, la Administradora de Fondos de Inversión Colectiva del año y la Empresa del año en el Mercado de Capitales </w:t>
      </w:r>
      <w:r>
        <w:rPr>
          <w:rFonts w:ascii="Trebuchet MS" w:eastAsia="Trebuchet MS" w:hAnsi="Trebuchet MS" w:cs="Trebuchet MS"/>
          <w:color w:val="333333"/>
        </w:rPr>
        <w:t>co</w:t>
      </w:r>
      <w:r>
        <w:rPr>
          <w:rFonts w:ascii="Trebuchet MS" w:eastAsia="Trebuchet MS" w:hAnsi="Trebuchet MS" w:cs="Trebuchet MS"/>
          <w:color w:val="333333"/>
        </w:rPr>
        <w:t>lombiano.</w:t>
      </w:r>
    </w:p>
    <w:p w14:paraId="00000003" w14:textId="77777777" w:rsidR="00061AAF" w:rsidRDefault="00646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31" w:lineRule="auto"/>
        <w:jc w:val="both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 xml:space="preserve">Estos reconocimientos, para los cuales son consideradas </w:t>
      </w:r>
      <w:r>
        <w:rPr>
          <w:rFonts w:ascii="Trebuchet MS" w:eastAsia="Trebuchet MS" w:hAnsi="Trebuchet MS" w:cs="Trebuchet MS"/>
          <w:color w:val="000000"/>
        </w:rPr>
        <w:t>entidades relacionadas con el sector f</w:t>
      </w:r>
      <w:r>
        <w:rPr>
          <w:rFonts w:ascii="Trebuchet MS" w:eastAsia="Trebuchet MS" w:hAnsi="Trebuchet MS" w:cs="Trebuchet MS"/>
          <w:color w:val="000000"/>
        </w:rPr>
        <w:t xml:space="preserve">inanciero y comercial </w:t>
      </w:r>
      <w:r>
        <w:rPr>
          <w:rFonts w:ascii="Trebuchet MS" w:eastAsia="Trebuchet MS" w:hAnsi="Trebuchet MS" w:cs="Trebuchet MS"/>
        </w:rPr>
        <w:t>en</w:t>
      </w:r>
      <w:r>
        <w:rPr>
          <w:rFonts w:ascii="Trebuchet MS" w:eastAsia="Trebuchet MS" w:hAnsi="Trebuchet MS" w:cs="Trebuchet MS"/>
          <w:color w:val="000000"/>
        </w:rPr>
        <w:t xml:space="preserve"> más de 80 países,</w:t>
      </w:r>
      <w:r>
        <w:rPr>
          <w:rFonts w:ascii="Trebuchet MS" w:eastAsia="Trebuchet MS" w:hAnsi="Trebuchet MS" w:cs="Trebuchet MS"/>
          <w:color w:val="333333"/>
        </w:rPr>
        <w:t xml:space="preserve"> son el resultado de</w:t>
      </w:r>
      <w:r>
        <w:rPr>
          <w:rFonts w:ascii="Trebuchet MS" w:eastAsia="Trebuchet MS" w:hAnsi="Trebuchet MS" w:cs="Trebuchet MS"/>
          <w:color w:val="333333"/>
        </w:rPr>
        <w:t xml:space="preserve">l exitoso despliegue de un plan estratégico </w:t>
      </w:r>
      <w:r>
        <w:rPr>
          <w:rFonts w:ascii="Trebuchet MS" w:eastAsia="Trebuchet MS" w:hAnsi="Trebuchet MS" w:cs="Trebuchet MS"/>
          <w:color w:val="333333"/>
        </w:rPr>
        <w:t>que se refleja</w:t>
      </w:r>
      <w:r>
        <w:rPr>
          <w:rFonts w:ascii="Trebuchet MS" w:eastAsia="Trebuchet MS" w:hAnsi="Trebuchet MS" w:cs="Trebuchet MS"/>
          <w:color w:val="333333"/>
        </w:rPr>
        <w:t xml:space="preserve"> en</w:t>
      </w:r>
      <w:r>
        <w:rPr>
          <w:rFonts w:ascii="Trebuchet MS" w:eastAsia="Trebuchet MS" w:hAnsi="Trebuchet MS" w:cs="Trebuchet MS"/>
          <w:color w:val="333333"/>
        </w:rPr>
        <w:t xml:space="preserve"> la solidez de la comisionista: 114.879 clientes, 4.2 billones de pesos gestionados en 7 Fondos de Inversión Colectiva y 21.58 billon</w:t>
      </w:r>
      <w:r>
        <w:rPr>
          <w:rFonts w:ascii="Trebuchet MS" w:eastAsia="Trebuchet MS" w:hAnsi="Trebuchet MS" w:cs="Trebuchet MS"/>
          <w:color w:val="333333"/>
        </w:rPr>
        <w:t>es de pesos en activos bajo administración.</w:t>
      </w:r>
    </w:p>
    <w:p w14:paraId="00000004" w14:textId="77777777" w:rsidR="00061AAF" w:rsidRDefault="00646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31" w:lineRule="auto"/>
        <w:jc w:val="both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i/>
          <w:color w:val="333333"/>
        </w:rPr>
        <w:t>“Este tipo de distinciones nos llenan de orgullo y evidencian l</w:t>
      </w:r>
      <w:r>
        <w:rPr>
          <w:rFonts w:ascii="Trebuchet MS" w:eastAsia="Trebuchet MS" w:hAnsi="Trebuchet MS" w:cs="Trebuchet MS"/>
          <w:i/>
          <w:color w:val="333333"/>
        </w:rPr>
        <w:t>os</w:t>
      </w:r>
      <w:r>
        <w:rPr>
          <w:rFonts w:ascii="Trebuchet MS" w:eastAsia="Trebuchet MS" w:hAnsi="Trebuchet MS" w:cs="Trebuchet MS"/>
          <w:i/>
          <w:color w:val="333333"/>
        </w:rPr>
        <w:t xml:space="preserve"> compromisos que tenemos con cada uno de nuestros clientes, de establecer relaciones de confianza a largo plazo y ofrecer una asesoría personalizad</w:t>
      </w:r>
      <w:r>
        <w:rPr>
          <w:rFonts w:ascii="Trebuchet MS" w:eastAsia="Trebuchet MS" w:hAnsi="Trebuchet MS" w:cs="Trebuchet MS"/>
          <w:i/>
          <w:color w:val="333333"/>
        </w:rPr>
        <w:t>a, oportuna y ajustada a sus necesidades de inversión. Durante la coyuntura derivada del COVID 19, estos propósitos fueron determinantes, logramos mantener nuestra base de clientes y recibimos nuevos usuarios, que han sido testigos de las acciones desarrol</w:t>
      </w:r>
      <w:r>
        <w:rPr>
          <w:rFonts w:ascii="Trebuchet MS" w:eastAsia="Trebuchet MS" w:hAnsi="Trebuchet MS" w:cs="Trebuchet MS"/>
          <w:i/>
          <w:color w:val="333333"/>
        </w:rPr>
        <w:t xml:space="preserve">ladas” </w:t>
      </w:r>
      <w:r>
        <w:rPr>
          <w:rFonts w:ascii="Trebuchet MS" w:eastAsia="Trebuchet MS" w:hAnsi="Trebuchet MS" w:cs="Trebuchet MS"/>
          <w:color w:val="333333"/>
        </w:rPr>
        <w:t>señaló María Teresa Uribe, presidente de Davivienda Corredores.</w:t>
      </w:r>
    </w:p>
    <w:p w14:paraId="00000005" w14:textId="77777777" w:rsidR="00061AAF" w:rsidRDefault="00646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31" w:lineRule="auto"/>
        <w:jc w:val="both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 xml:space="preserve">De igual forma, este premio </w:t>
      </w:r>
      <w:r>
        <w:rPr>
          <w:rFonts w:ascii="Trebuchet MS" w:eastAsia="Trebuchet MS" w:hAnsi="Trebuchet MS" w:cs="Trebuchet MS"/>
          <w:color w:val="333333"/>
        </w:rPr>
        <w:t xml:space="preserve">reconoce los avances en la oferta de valor a sus clientes, mediante la implementación de nuevos productos de Inversión, como el nuevo Fondo Alternativo 120, servicios complementarios como el servicio </w:t>
      </w:r>
      <w:proofErr w:type="spellStart"/>
      <w:r>
        <w:rPr>
          <w:rFonts w:ascii="Trebuchet MS" w:eastAsia="Trebuchet MS" w:hAnsi="Trebuchet MS" w:cs="Trebuchet MS"/>
          <w:color w:val="333333"/>
        </w:rPr>
        <w:t>Davi</w:t>
      </w:r>
      <w:r>
        <w:rPr>
          <w:rFonts w:ascii="Trebuchet MS" w:eastAsia="Trebuchet MS" w:hAnsi="Trebuchet MS" w:cs="Trebuchet MS"/>
          <w:color w:val="333333"/>
        </w:rPr>
        <w:t>C</w:t>
      </w:r>
      <w:r>
        <w:rPr>
          <w:rFonts w:ascii="Trebuchet MS" w:eastAsia="Trebuchet MS" w:hAnsi="Trebuchet MS" w:cs="Trebuchet MS"/>
          <w:color w:val="333333"/>
        </w:rPr>
        <w:t>ash</w:t>
      </w:r>
      <w:proofErr w:type="spellEnd"/>
      <w:r>
        <w:rPr>
          <w:rFonts w:ascii="Trebuchet MS" w:eastAsia="Trebuchet MS" w:hAnsi="Trebuchet MS" w:cs="Trebuchet MS"/>
          <w:color w:val="333333"/>
        </w:rPr>
        <w:t xml:space="preserve"> y el robustecimiento de sus canales digitales</w:t>
      </w:r>
      <w:r>
        <w:rPr>
          <w:rFonts w:ascii="Trebuchet MS" w:eastAsia="Trebuchet MS" w:hAnsi="Trebuchet MS" w:cs="Trebuchet MS"/>
          <w:color w:val="333333"/>
        </w:rPr>
        <w:t>.</w:t>
      </w:r>
    </w:p>
    <w:p w14:paraId="00000006" w14:textId="77777777" w:rsidR="00061AAF" w:rsidRDefault="00646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31" w:lineRule="auto"/>
        <w:jc w:val="both"/>
        <w:rPr>
          <w:rFonts w:ascii="Trebuchet MS" w:eastAsia="Trebuchet MS" w:hAnsi="Trebuchet MS" w:cs="Trebuchet MS"/>
          <w:color w:val="333333"/>
        </w:rPr>
      </w:pPr>
      <w:r>
        <w:rPr>
          <w:rFonts w:ascii="Trebuchet MS" w:eastAsia="Trebuchet MS" w:hAnsi="Trebuchet MS" w:cs="Trebuchet MS"/>
          <w:color w:val="333333"/>
        </w:rPr>
        <w:t>Finalmente</w:t>
      </w:r>
      <w:r>
        <w:rPr>
          <w:rFonts w:ascii="Trebuchet MS" w:eastAsia="Trebuchet MS" w:hAnsi="Trebuchet MS" w:cs="Trebuchet MS"/>
          <w:color w:val="333333"/>
        </w:rPr>
        <w:t xml:space="preserve">, la publicación destaca e invita a </w:t>
      </w:r>
      <w:r>
        <w:rPr>
          <w:rFonts w:ascii="Trebuchet MS" w:eastAsia="Trebuchet MS" w:hAnsi="Trebuchet MS" w:cs="Trebuchet MS"/>
          <w:color w:val="333333"/>
        </w:rPr>
        <w:t>continuar</w:t>
      </w:r>
      <w:r>
        <w:rPr>
          <w:rFonts w:ascii="Trebuchet MS" w:eastAsia="Trebuchet MS" w:hAnsi="Trebuchet MS" w:cs="Trebuchet MS"/>
          <w:color w:val="333333"/>
        </w:rPr>
        <w:t xml:space="preserve"> con la cercanía y el acompañamiento desplegado desde el primer </w:t>
      </w:r>
      <w:proofErr w:type="spellStart"/>
      <w:r>
        <w:rPr>
          <w:rFonts w:ascii="Trebuchet MS" w:eastAsia="Trebuchet MS" w:hAnsi="Trebuchet MS" w:cs="Trebuchet MS"/>
          <w:color w:val="333333"/>
        </w:rPr>
        <w:t>dia</w:t>
      </w:r>
      <w:proofErr w:type="spellEnd"/>
      <w:r>
        <w:rPr>
          <w:rFonts w:ascii="Trebuchet MS" w:eastAsia="Trebuchet MS" w:hAnsi="Trebuchet MS" w:cs="Trebuchet MS"/>
          <w:color w:val="333333"/>
        </w:rPr>
        <w:t xml:space="preserve"> de la coyuntura sanitaria a los clientes</w:t>
      </w:r>
      <w:r>
        <w:rPr>
          <w:rFonts w:ascii="Trebuchet MS" w:eastAsia="Trebuchet MS" w:hAnsi="Trebuchet MS" w:cs="Trebuchet MS"/>
          <w:color w:val="333333"/>
        </w:rPr>
        <w:t>:</w:t>
      </w:r>
      <w:r>
        <w:rPr>
          <w:rFonts w:ascii="Trebuchet MS" w:eastAsia="Trebuchet MS" w:hAnsi="Trebuchet MS" w:cs="Trebuchet MS"/>
          <w:color w:val="333333"/>
        </w:rPr>
        <w:t xml:space="preserve"> </w:t>
      </w:r>
      <w:r>
        <w:rPr>
          <w:rFonts w:ascii="Trebuchet MS" w:eastAsia="Trebuchet MS" w:hAnsi="Trebuchet MS" w:cs="Trebuchet MS"/>
          <w:color w:val="333333"/>
        </w:rPr>
        <w:t>las</w:t>
      </w:r>
      <w:r>
        <w:rPr>
          <w:rFonts w:ascii="Trebuchet MS" w:eastAsia="Trebuchet MS" w:hAnsi="Trebuchet MS" w:cs="Trebuchet MS"/>
          <w:color w:val="333333"/>
        </w:rPr>
        <w:t xml:space="preserve"> charlas y los eventos en vivo con expertos nacionales e internacionales se sum</w:t>
      </w:r>
      <w:r>
        <w:rPr>
          <w:rFonts w:ascii="Trebuchet MS" w:eastAsia="Trebuchet MS" w:hAnsi="Trebuchet MS" w:cs="Trebuchet MS"/>
          <w:color w:val="333333"/>
        </w:rPr>
        <w:t>aron</w:t>
      </w:r>
      <w:r>
        <w:rPr>
          <w:rFonts w:ascii="Trebuchet MS" w:eastAsia="Trebuchet MS" w:hAnsi="Trebuchet MS" w:cs="Trebuchet MS"/>
          <w:color w:val="333333"/>
        </w:rPr>
        <w:t xml:space="preserve"> a la</w:t>
      </w:r>
      <w:r>
        <w:rPr>
          <w:rFonts w:ascii="Trebuchet MS" w:eastAsia="Trebuchet MS" w:hAnsi="Trebuchet MS" w:cs="Trebuchet MS"/>
          <w:color w:val="333333"/>
        </w:rPr>
        <w:t xml:space="preserve"> premisa de “Aconsejar con experiencia”, las cuales hacen parte del </w:t>
      </w:r>
      <w:r>
        <w:rPr>
          <w:rFonts w:ascii="Trebuchet MS" w:eastAsia="Trebuchet MS" w:hAnsi="Trebuchet MS" w:cs="Trebuchet MS"/>
          <w:color w:val="333333"/>
        </w:rPr>
        <w:lastRenderedPageBreak/>
        <w:t>conj</w:t>
      </w:r>
      <w:r>
        <w:rPr>
          <w:rFonts w:ascii="Trebuchet MS" w:eastAsia="Trebuchet MS" w:hAnsi="Trebuchet MS" w:cs="Trebuchet MS"/>
          <w:color w:val="333333"/>
        </w:rPr>
        <w:t xml:space="preserve">unto de estrategias </w:t>
      </w:r>
      <w:r>
        <w:rPr>
          <w:rFonts w:ascii="Trebuchet MS" w:eastAsia="Trebuchet MS" w:hAnsi="Trebuchet MS" w:cs="Trebuchet MS"/>
          <w:color w:val="333333"/>
        </w:rPr>
        <w:t xml:space="preserve">ya institucionalizadas en Davivienda Corredores </w:t>
      </w:r>
      <w:r>
        <w:rPr>
          <w:rFonts w:ascii="Trebuchet MS" w:eastAsia="Trebuchet MS" w:hAnsi="Trebuchet MS" w:cs="Trebuchet MS"/>
          <w:color w:val="333333"/>
        </w:rPr>
        <w:t>con el fin de generar relaciones de confianza con</w:t>
      </w:r>
      <w:r>
        <w:rPr>
          <w:rFonts w:ascii="Trebuchet MS" w:eastAsia="Trebuchet MS" w:hAnsi="Trebuchet MS" w:cs="Trebuchet MS"/>
          <w:color w:val="333333"/>
        </w:rPr>
        <w:t xml:space="preserve"> sus clientes. </w:t>
      </w:r>
    </w:p>
    <w:p w14:paraId="00000007" w14:textId="77777777" w:rsidR="00061AAF" w:rsidRDefault="00061AAF">
      <w:p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</w:p>
    <w:p w14:paraId="00000008" w14:textId="77777777" w:rsidR="00061AAF" w:rsidRDefault="0064694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Acerca de Davivienda Corredores</w:t>
      </w:r>
    </w:p>
    <w:p w14:paraId="00000009" w14:textId="77777777" w:rsidR="00061AAF" w:rsidRDefault="00061A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595959"/>
          <w:sz w:val="18"/>
          <w:szCs w:val="18"/>
        </w:rPr>
      </w:pPr>
    </w:p>
    <w:p w14:paraId="0000000A" w14:textId="77777777" w:rsidR="00061AAF" w:rsidRDefault="006469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595959"/>
          <w:sz w:val="18"/>
          <w:szCs w:val="18"/>
        </w:rPr>
      </w:pPr>
      <w:r>
        <w:rPr>
          <w:rFonts w:ascii="Arial" w:eastAsia="Arial" w:hAnsi="Arial" w:cs="Arial"/>
          <w:color w:val="595959"/>
          <w:sz w:val="18"/>
          <w:szCs w:val="18"/>
        </w:rPr>
        <w:t>Davivienda Corredores es una Comisionista de Bolsa perteneciente al Banco Davivienda y al Grupo Bolívar. Desde 1976 presta servicios de intermediación de valores y Banca de Inversión, a personas y empresas. El portafolio integral de productos y servicios a</w:t>
      </w:r>
      <w:r>
        <w:rPr>
          <w:rFonts w:ascii="Arial" w:eastAsia="Arial" w:hAnsi="Arial" w:cs="Arial"/>
          <w:color w:val="595959"/>
          <w:sz w:val="18"/>
          <w:szCs w:val="18"/>
        </w:rPr>
        <w:t>tiende las necesidades de los clientes, con innovación constante y ofertas dirigidas para cada segmento.</w:t>
      </w:r>
    </w:p>
    <w:p w14:paraId="0000000B" w14:textId="77777777" w:rsidR="00061AAF" w:rsidRDefault="006469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595959"/>
          <w:sz w:val="18"/>
          <w:szCs w:val="18"/>
        </w:rPr>
      </w:pPr>
      <w:r>
        <w:rPr>
          <w:rFonts w:ascii="Arial" w:eastAsia="Arial" w:hAnsi="Arial" w:cs="Arial"/>
          <w:color w:val="595959"/>
          <w:sz w:val="18"/>
          <w:szCs w:val="18"/>
        </w:rPr>
        <w:t xml:space="preserve"> </w:t>
      </w:r>
    </w:p>
    <w:p w14:paraId="0000000C" w14:textId="77777777" w:rsidR="00061AAF" w:rsidRDefault="006469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595959"/>
          <w:sz w:val="18"/>
          <w:szCs w:val="18"/>
        </w:rPr>
        <w:t>La entidad cuenta con más de 114.000 clientes a quienes se atiende de forma presencial a través de 6 oficinas a nivel nacional y con presencia intern</w:t>
      </w:r>
      <w:r>
        <w:rPr>
          <w:rFonts w:ascii="Arial" w:eastAsia="Arial" w:hAnsi="Arial" w:cs="Arial"/>
          <w:color w:val="595959"/>
          <w:sz w:val="18"/>
          <w:szCs w:val="18"/>
        </w:rPr>
        <w:t xml:space="preserve">acional a través de Davivienda Corredores Panamá, </w:t>
      </w:r>
      <w:r>
        <w:rPr>
          <w:rFonts w:ascii="Arial" w:eastAsia="Arial" w:hAnsi="Arial" w:cs="Arial"/>
          <w:color w:val="595959"/>
          <w:sz w:val="18"/>
          <w:szCs w:val="18"/>
        </w:rPr>
        <w:t>así</w:t>
      </w:r>
      <w:r>
        <w:rPr>
          <w:rFonts w:ascii="Arial" w:eastAsia="Arial" w:hAnsi="Arial" w:cs="Arial"/>
          <w:color w:val="595959"/>
          <w:sz w:val="18"/>
          <w:szCs w:val="18"/>
        </w:rPr>
        <w:t xml:space="preserve"> como canales digitales que apoyan la autogestión de los clientes. </w:t>
      </w:r>
    </w:p>
    <w:p w14:paraId="0000000D" w14:textId="77777777" w:rsidR="00061AAF" w:rsidRDefault="00061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60" w:lineRule="auto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</w:p>
    <w:p w14:paraId="0000000E" w14:textId="77777777" w:rsidR="00061AAF" w:rsidRDefault="00061AA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line="360" w:lineRule="auto"/>
        <w:rPr>
          <w:rFonts w:ascii="Arial" w:eastAsia="Arial" w:hAnsi="Arial" w:cs="Arial"/>
          <w:i/>
          <w:color w:val="222222"/>
          <w:sz w:val="20"/>
          <w:szCs w:val="20"/>
          <w:highlight w:val="white"/>
        </w:rPr>
      </w:pPr>
    </w:p>
    <w:p w14:paraId="0000000F" w14:textId="77777777" w:rsidR="00061AAF" w:rsidRDefault="00061AAF"/>
    <w:p w14:paraId="00000010" w14:textId="77777777" w:rsidR="00061AAF" w:rsidRDefault="00061AAF">
      <w:pPr>
        <w:jc w:val="both"/>
        <w:rPr>
          <w:rFonts w:ascii="Arial" w:eastAsia="Arial" w:hAnsi="Arial" w:cs="Arial"/>
          <w:sz w:val="22"/>
          <w:szCs w:val="22"/>
        </w:rPr>
      </w:pPr>
    </w:p>
    <w:sectPr w:rsidR="00061AAF">
      <w:headerReference w:type="default" r:id="rId8"/>
      <w:pgSz w:w="12240" w:h="15840"/>
      <w:pgMar w:top="1440" w:right="1440" w:bottom="1440" w:left="1440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A5363" w14:textId="77777777" w:rsidR="00646944" w:rsidRDefault="00646944">
      <w:r>
        <w:separator/>
      </w:r>
    </w:p>
  </w:endnote>
  <w:endnote w:type="continuationSeparator" w:id="0">
    <w:p w14:paraId="7D2AAEB5" w14:textId="77777777" w:rsidR="00646944" w:rsidRDefault="0064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22B8A" w14:textId="77777777" w:rsidR="00646944" w:rsidRDefault="00646944">
      <w:r>
        <w:separator/>
      </w:r>
    </w:p>
  </w:footnote>
  <w:footnote w:type="continuationSeparator" w:id="0">
    <w:p w14:paraId="6D8BA680" w14:textId="77777777" w:rsidR="00646944" w:rsidRDefault="0064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1" w14:textId="77777777" w:rsidR="00061AAF" w:rsidRDefault="0064694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Calibri"/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2" w14:textId="77777777" w:rsidR="00061AAF" w:rsidRDefault="00061A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Calibri"/>
        <w:color w:val="000000"/>
      </w:rPr>
    </w:pPr>
  </w:p>
  <w:p w14:paraId="00000013" w14:textId="77777777" w:rsidR="00061AAF" w:rsidRDefault="00061A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Calibri"/>
        <w:color w:val="000000"/>
      </w:rPr>
    </w:pPr>
  </w:p>
  <w:p w14:paraId="00000014" w14:textId="77777777" w:rsidR="00061AAF" w:rsidRDefault="00061A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Calibri"/>
        <w:color w:val="000000"/>
      </w:rPr>
    </w:pPr>
  </w:p>
  <w:p w14:paraId="00000015" w14:textId="77777777" w:rsidR="00061AAF" w:rsidRDefault="00061A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Calibri"/>
        <w:color w:val="000000"/>
      </w:rPr>
    </w:pPr>
  </w:p>
  <w:p w14:paraId="00000016" w14:textId="77777777" w:rsidR="00061AAF" w:rsidRDefault="00061A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F27EB"/>
    <w:multiLevelType w:val="multilevel"/>
    <w:tmpl w:val="1C425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AF"/>
    <w:rsid w:val="00061AAF"/>
    <w:rsid w:val="00646944"/>
    <w:rsid w:val="00D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4CB813A-01A9-D743-A41F-993C046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16B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B7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B7F1C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37CA9"/>
    <w:pPr>
      <w:ind w:left="720"/>
      <w:contextualSpacing/>
    </w:pPr>
    <w:rPr>
      <w:rFonts w:eastAsiaTheme="minorHAnsi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383CAF"/>
    <w:pPr>
      <w:tabs>
        <w:tab w:val="center" w:pos="4419"/>
        <w:tab w:val="right" w:pos="8838"/>
      </w:tabs>
    </w:pPr>
    <w:rPr>
      <w:rFonts w:eastAsiaTheme="minorHAnsi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83CA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83CAF"/>
    <w:pPr>
      <w:tabs>
        <w:tab w:val="center" w:pos="4419"/>
        <w:tab w:val="right" w:pos="8838"/>
      </w:tabs>
    </w:pPr>
    <w:rPr>
      <w:rFonts w:eastAsiaTheme="minorHAnsi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3CAF"/>
    <w:rPr>
      <w:rFonts w:ascii="Calibri" w:hAnsi="Calibri" w:cs="Times New Roman"/>
    </w:rPr>
  </w:style>
  <w:style w:type="character" w:customStyle="1" w:styleId="Ninguno">
    <w:name w:val="Ninguno"/>
    <w:rsid w:val="00383CAF"/>
  </w:style>
  <w:style w:type="paragraph" w:customStyle="1" w:styleId="Cuerpo">
    <w:name w:val="Cuerpo"/>
    <w:rsid w:val="00383C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s-ES_tradnl" w:eastAsia="es-CO"/>
    </w:rPr>
  </w:style>
  <w:style w:type="character" w:customStyle="1" w:styleId="Hyperlink1">
    <w:name w:val="Hyperlink.1"/>
    <w:basedOn w:val="Fuentedeprrafopredeter"/>
    <w:rsid w:val="00383CAF"/>
    <w:rPr>
      <w:color w:val="0000FF"/>
      <w:sz w:val="18"/>
      <w:szCs w:val="18"/>
      <w:u w:val="single" w:color="0000FF"/>
    </w:rPr>
  </w:style>
  <w:style w:type="character" w:styleId="Hipervnculo">
    <w:name w:val="Hyperlink"/>
    <w:basedOn w:val="Fuentedeprrafopredeter"/>
    <w:uiPriority w:val="99"/>
    <w:unhideWhenUsed/>
    <w:rsid w:val="00A9602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8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884"/>
    <w:rPr>
      <w:rFonts w:ascii="Tahoma" w:hAnsi="Tahoma" w:cs="Tahoma"/>
      <w:sz w:val="16"/>
      <w:szCs w:val="16"/>
    </w:rPr>
  </w:style>
  <w:style w:type="numbering" w:customStyle="1" w:styleId="Estiloimportado1">
    <w:name w:val="Estilo importado 1"/>
    <w:rsid w:val="008D6090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F743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F7437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BB7F1C"/>
    <w:rPr>
      <w:rFonts w:ascii="Times New Roman" w:eastAsia="Times New Roman" w:hAnsi="Times New Roman" w:cs="Times New Roman"/>
      <w:b/>
      <w:bCs/>
      <w:lang w:val="es-CO" w:eastAsia="es-ES_tradnl"/>
    </w:rPr>
  </w:style>
  <w:style w:type="paragraph" w:customStyle="1" w:styleId="fs-10pt">
    <w:name w:val="fs-10pt"/>
    <w:basedOn w:val="Normal"/>
    <w:rsid w:val="00BB7F1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B7F1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Normal1">
    <w:name w:val="Normal1"/>
    <w:rsid w:val="00C40A81"/>
    <w:pPr>
      <w:spacing w:after="160" w:line="259" w:lineRule="auto"/>
    </w:pPr>
    <w:rPr>
      <w:sz w:val="22"/>
      <w:szCs w:val="22"/>
      <w:lang w:eastAsia="es-ES"/>
    </w:rPr>
  </w:style>
  <w:style w:type="paragraph" w:customStyle="1" w:styleId="TITUALRCorredores">
    <w:name w:val="TITUALR Corredores"/>
    <w:qFormat/>
    <w:rsid w:val="00BC125A"/>
    <w:pPr>
      <w:spacing w:after="300" w:line="360" w:lineRule="exact"/>
      <w:jc w:val="center"/>
    </w:pPr>
    <w:rPr>
      <w:b/>
      <w:sz w:val="36"/>
      <w:szCs w:val="36"/>
      <w:lang w:eastAsia="es-ES"/>
    </w:rPr>
  </w:style>
  <w:style w:type="paragraph" w:customStyle="1" w:styleId="Style1">
    <w:name w:val="Style1"/>
    <w:basedOn w:val="Normal1"/>
    <w:qFormat/>
    <w:rsid w:val="00BC125A"/>
    <w:pPr>
      <w:jc w:val="both"/>
    </w:pPr>
    <w:rPr>
      <w:color w:val="595959" w:themeColor="text1" w:themeTint="A6"/>
      <w:sz w:val="24"/>
      <w:szCs w:val="24"/>
    </w:rPr>
  </w:style>
  <w:style w:type="paragraph" w:customStyle="1" w:styleId="BODYCorredores">
    <w:name w:val="BODY Corredores"/>
    <w:qFormat/>
    <w:rsid w:val="00BC125A"/>
    <w:pPr>
      <w:spacing w:after="120" w:line="270" w:lineRule="exact"/>
      <w:jc w:val="both"/>
    </w:pPr>
    <w:rPr>
      <w:sz w:val="22"/>
      <w:lang w:eastAsia="es-ES"/>
    </w:rPr>
  </w:style>
  <w:style w:type="paragraph" w:customStyle="1" w:styleId="AcercaBodyCorredores">
    <w:name w:val="Acerca Body Corredores"/>
    <w:qFormat/>
    <w:rsid w:val="00BC125A"/>
    <w:pPr>
      <w:jc w:val="both"/>
    </w:pPr>
    <w:rPr>
      <w:color w:val="595959" w:themeColor="text1" w:themeTint="A6"/>
      <w:sz w:val="18"/>
      <w:szCs w:val="18"/>
      <w:lang w:eastAsia="es-ES"/>
    </w:rPr>
  </w:style>
  <w:style w:type="paragraph" w:customStyle="1" w:styleId="Style2">
    <w:name w:val="Style2"/>
    <w:basedOn w:val="Normal1"/>
    <w:qFormat/>
    <w:rsid w:val="00BC125A"/>
    <w:pPr>
      <w:jc w:val="both"/>
    </w:pPr>
    <w:rPr>
      <w:b/>
      <w:color w:val="808080" w:themeColor="background1" w:themeShade="80"/>
      <w:sz w:val="20"/>
      <w:szCs w:val="20"/>
    </w:rPr>
  </w:style>
  <w:style w:type="paragraph" w:customStyle="1" w:styleId="AcercaTitularCorredores">
    <w:name w:val="Acerca Titular Corredores"/>
    <w:basedOn w:val="Normal1"/>
    <w:qFormat/>
    <w:rsid w:val="00BC125A"/>
    <w:pPr>
      <w:jc w:val="both"/>
    </w:pPr>
    <w:rPr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233B0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tab-span">
    <w:name w:val="apple-tab-span"/>
    <w:basedOn w:val="Fuentedeprrafopredeter"/>
    <w:rsid w:val="00233B0D"/>
  </w:style>
  <w:style w:type="paragraph" w:styleId="Textocomentario">
    <w:name w:val="annotation text"/>
    <w:basedOn w:val="Normal"/>
    <w:link w:val="TextocomentarioCar"/>
    <w:uiPriority w:val="99"/>
    <w:unhideWhenUsed/>
    <w:rsid w:val="006057FE"/>
    <w:rPr>
      <w:rFonts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057FE"/>
    <w:rPr>
      <w:rFonts w:ascii="Calibri" w:eastAsia="Calibri" w:hAnsi="Calibri" w:cs="Calibri"/>
      <w:sz w:val="20"/>
      <w:szCs w:val="20"/>
      <w:lang w:val="es-CO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6057F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78EE"/>
    <w:rPr>
      <w:rFonts w:cs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78EE"/>
    <w:rPr>
      <w:rFonts w:ascii="Calibri" w:eastAsia="Calibri" w:hAnsi="Calibri" w:cs="Times New Roman"/>
      <w:b/>
      <w:bCs/>
      <w:sz w:val="20"/>
      <w:szCs w:val="20"/>
      <w:lang w:val="es-CO" w:eastAsia="es-ES_tradnl"/>
    </w:rPr>
  </w:style>
  <w:style w:type="paragraph" w:customStyle="1" w:styleId="Normal2">
    <w:name w:val="Normal2"/>
    <w:rsid w:val="00C73F7C"/>
    <w:pPr>
      <w:spacing w:line="276" w:lineRule="auto"/>
    </w:pPr>
    <w:rPr>
      <w:rFonts w:ascii="Arial" w:eastAsia="Arial" w:hAnsi="Arial" w:cs="Arial"/>
      <w:sz w:val="22"/>
      <w:szCs w:val="22"/>
      <w:lang w:val="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PKxyc9cCHujiNiiWFAX5qGlhGg==">AMUW2mWaZXozyomek2J29MpS6LzIeK/qgArSUyirQy3Xijfi0bUozS6BzBHZk2GPkwhVifI+k44ZHWcqV9WcYsUwrEc4M6hxhRwJ2D75mMtX99Asz1TW67k=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BABEL GROUP</cp:lastModifiedBy>
  <cp:revision>2</cp:revision>
  <dcterms:created xsi:type="dcterms:W3CDTF">2021-07-26T13:44:00Z</dcterms:created>
  <dcterms:modified xsi:type="dcterms:W3CDTF">2021-07-26T13:44:00Z</dcterms:modified>
</cp:coreProperties>
</file>