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5CA6" w14:textId="2DA20C5F" w:rsidR="00A679DC" w:rsidRDefault="00A679DC">
      <w:pPr>
        <w:spacing w:line="240" w:lineRule="auto"/>
        <w:ind w:left="720"/>
        <w:jc w:val="center"/>
        <w:rPr>
          <w:b/>
          <w:sz w:val="32"/>
          <w:szCs w:val="32"/>
        </w:rPr>
      </w:pPr>
    </w:p>
    <w:p w14:paraId="3CC1579A" w14:textId="0FD8A3EA" w:rsidR="00A679DC" w:rsidRDefault="00450138">
      <w:pPr>
        <w:spacing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Así s</w:t>
      </w:r>
      <w:r w:rsidR="00623626">
        <w:rPr>
          <w:b/>
          <w:sz w:val="32"/>
          <w:szCs w:val="32"/>
        </w:rPr>
        <w:t xml:space="preserve">e </w:t>
      </w:r>
      <w:r>
        <w:rPr>
          <w:b/>
          <w:sz w:val="32"/>
          <w:szCs w:val="32"/>
        </w:rPr>
        <w:t>r</w:t>
      </w:r>
      <w:r w:rsidR="00923D89">
        <w:rPr>
          <w:b/>
          <w:sz w:val="32"/>
          <w:szCs w:val="32"/>
        </w:rPr>
        <w:t>eactiva</w:t>
      </w:r>
      <w:r>
        <w:rPr>
          <w:b/>
          <w:sz w:val="32"/>
          <w:szCs w:val="32"/>
        </w:rPr>
        <w:t>ro</w:t>
      </w:r>
      <w:r w:rsidR="00623626">
        <w:rPr>
          <w:b/>
          <w:sz w:val="32"/>
          <w:szCs w:val="32"/>
        </w:rPr>
        <w:t>n</w:t>
      </w:r>
      <w:r w:rsidR="00923D89">
        <w:rPr>
          <w:b/>
          <w:sz w:val="32"/>
          <w:szCs w:val="32"/>
        </w:rPr>
        <w:t xml:space="preserve"> los comercios</w:t>
      </w:r>
      <w:r>
        <w:rPr>
          <w:b/>
          <w:sz w:val="32"/>
          <w:szCs w:val="32"/>
        </w:rPr>
        <w:t xml:space="preserve"> colombianos</w:t>
      </w:r>
      <w:r w:rsidR="00923D89">
        <w:rPr>
          <w:b/>
          <w:sz w:val="32"/>
          <w:szCs w:val="32"/>
        </w:rPr>
        <w:t xml:space="preserve"> en el primer semestre</w:t>
      </w:r>
      <w:r>
        <w:rPr>
          <w:b/>
          <w:sz w:val="32"/>
          <w:szCs w:val="32"/>
        </w:rPr>
        <w:t xml:space="preserve"> de 2021</w:t>
      </w:r>
    </w:p>
    <w:p w14:paraId="12CA0996" w14:textId="77777777" w:rsidR="009C1017" w:rsidRDefault="009C1017">
      <w:pPr>
        <w:spacing w:line="240" w:lineRule="auto"/>
        <w:ind w:left="720"/>
        <w:jc w:val="center"/>
        <w:rPr>
          <w:b/>
          <w:sz w:val="32"/>
          <w:szCs w:val="32"/>
        </w:rPr>
      </w:pPr>
    </w:p>
    <w:p w14:paraId="1AACB24F" w14:textId="6ECAC0DA" w:rsidR="00C3610C" w:rsidRPr="009227FF" w:rsidRDefault="009C1017">
      <w:pPr>
        <w:spacing w:line="240" w:lineRule="auto"/>
        <w:ind w:left="720"/>
        <w:jc w:val="center"/>
        <w:rPr>
          <w:b/>
          <w:sz w:val="32"/>
          <w:szCs w:val="32"/>
        </w:rPr>
      </w:pPr>
      <w:r w:rsidRPr="009227FF">
        <w:rPr>
          <w:noProof/>
        </w:rPr>
        <w:drawing>
          <wp:inline distT="0" distB="0" distL="0" distR="0" wp14:anchorId="4E4F1586" wp14:editId="6561AC9F">
            <wp:extent cx="4219575" cy="281242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28" cy="28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E55D" w14:textId="77777777" w:rsidR="00655FAE" w:rsidRPr="009227FF" w:rsidRDefault="00655FAE" w:rsidP="00655F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i/>
          <w:color w:val="000000"/>
        </w:rPr>
      </w:pPr>
    </w:p>
    <w:p w14:paraId="755B813D" w14:textId="7B016043" w:rsidR="00AD2C1D" w:rsidRPr="009227FF" w:rsidRDefault="00117F32" w:rsidP="00F07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  <w:r w:rsidRPr="009227FF">
        <w:rPr>
          <w:i/>
        </w:rPr>
        <w:t>En est</w:t>
      </w:r>
      <w:r w:rsidR="00450138" w:rsidRPr="009227FF">
        <w:rPr>
          <w:i/>
        </w:rPr>
        <w:t xml:space="preserve">os primeros seis (6) meses </w:t>
      </w:r>
      <w:r w:rsidRPr="009227FF">
        <w:rPr>
          <w:i/>
        </w:rPr>
        <w:t>del año</w:t>
      </w:r>
      <w:r w:rsidR="00B73457" w:rsidRPr="009227FF">
        <w:rPr>
          <w:i/>
        </w:rPr>
        <w:t xml:space="preserve"> </w:t>
      </w:r>
      <w:r w:rsidR="00CD11EB" w:rsidRPr="009227FF">
        <w:rPr>
          <w:i/>
        </w:rPr>
        <w:t>se realizaron</w:t>
      </w:r>
      <w:r w:rsidR="00CD11EB" w:rsidRPr="009227FF">
        <w:rPr>
          <w:i/>
          <w:color w:val="000000"/>
        </w:rPr>
        <w:t xml:space="preserve"> </w:t>
      </w:r>
      <w:r w:rsidR="00652FB5" w:rsidRPr="009227FF">
        <w:rPr>
          <w:i/>
        </w:rPr>
        <w:t>228</w:t>
      </w:r>
      <w:r w:rsidR="00A679DC" w:rsidRPr="009227FF">
        <w:rPr>
          <w:i/>
          <w:color w:val="000000"/>
        </w:rPr>
        <w:t xml:space="preserve"> </w:t>
      </w:r>
      <w:r w:rsidR="00CD11EB" w:rsidRPr="009227FF">
        <w:rPr>
          <w:i/>
          <w:color w:val="000000"/>
        </w:rPr>
        <w:t xml:space="preserve">millones de </w:t>
      </w:r>
      <w:r w:rsidR="00BA700E" w:rsidRPr="009227FF">
        <w:rPr>
          <w:b/>
          <w:i/>
          <w:color w:val="000000"/>
        </w:rPr>
        <w:t>transacciones mediante</w:t>
      </w:r>
      <w:r w:rsidRPr="009227FF">
        <w:rPr>
          <w:b/>
          <w:i/>
          <w:color w:val="000000"/>
        </w:rPr>
        <w:t xml:space="preserve"> pagos electrónicos</w:t>
      </w:r>
      <w:r w:rsidR="00CD11EB" w:rsidRPr="009227FF">
        <w:rPr>
          <w:i/>
          <w:color w:val="000000"/>
        </w:rPr>
        <w:t xml:space="preserve"> con </w:t>
      </w:r>
      <w:r w:rsidR="00BE0112" w:rsidRPr="009227FF">
        <w:rPr>
          <w:i/>
          <w:color w:val="000000"/>
        </w:rPr>
        <w:t>una</w:t>
      </w:r>
      <w:r w:rsidR="00CD11EB" w:rsidRPr="009227FF">
        <w:rPr>
          <w:i/>
          <w:color w:val="000000"/>
        </w:rPr>
        <w:t xml:space="preserve"> </w:t>
      </w:r>
      <w:r w:rsidR="00CD11EB" w:rsidRPr="009227FF">
        <w:rPr>
          <w:b/>
          <w:i/>
          <w:color w:val="000000"/>
        </w:rPr>
        <w:t xml:space="preserve">facturación </w:t>
      </w:r>
      <w:r w:rsidR="00BE0112" w:rsidRPr="009227FF">
        <w:rPr>
          <w:i/>
          <w:color w:val="000000"/>
        </w:rPr>
        <w:t xml:space="preserve">que </w:t>
      </w:r>
      <w:r w:rsidR="00CD11EB" w:rsidRPr="009227FF">
        <w:rPr>
          <w:i/>
          <w:color w:val="000000"/>
        </w:rPr>
        <w:t xml:space="preserve">superó los </w:t>
      </w:r>
      <w:r w:rsidR="00652FB5" w:rsidRPr="009227FF">
        <w:rPr>
          <w:i/>
        </w:rPr>
        <w:t>$26</w:t>
      </w:r>
      <w:r w:rsidR="00CD11EB" w:rsidRPr="009227FF">
        <w:rPr>
          <w:i/>
          <w:color w:val="000000"/>
        </w:rPr>
        <w:t xml:space="preserve"> </w:t>
      </w:r>
      <w:r w:rsidR="009617FB" w:rsidRPr="009227FF">
        <w:rPr>
          <w:i/>
          <w:color w:val="000000"/>
        </w:rPr>
        <w:t>b</w:t>
      </w:r>
      <w:r w:rsidR="00CD11EB" w:rsidRPr="009227FF">
        <w:rPr>
          <w:i/>
          <w:color w:val="000000"/>
        </w:rPr>
        <w:t xml:space="preserve">illones de pesos </w:t>
      </w:r>
    </w:p>
    <w:p w14:paraId="647CFD6F" w14:textId="77777777" w:rsidR="00B1699D" w:rsidRPr="009227FF" w:rsidRDefault="00B1699D" w:rsidP="00B16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i/>
          <w:color w:val="000000"/>
        </w:rPr>
      </w:pPr>
    </w:p>
    <w:p w14:paraId="67C1DF65" w14:textId="6188B044" w:rsidR="009D52DB" w:rsidRPr="009227FF" w:rsidRDefault="006D091E" w:rsidP="009D5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  <w:r w:rsidRPr="009227FF">
        <w:rPr>
          <w:i/>
          <w:color w:val="000000"/>
        </w:rPr>
        <w:t>A pesar de la</w:t>
      </w:r>
      <w:r w:rsidR="000B4F4B" w:rsidRPr="009227FF">
        <w:rPr>
          <w:i/>
          <w:color w:val="000000"/>
        </w:rPr>
        <w:t xml:space="preserve"> coyuntura del COVID-19</w:t>
      </w:r>
      <w:r w:rsidRPr="009227FF">
        <w:rPr>
          <w:i/>
          <w:color w:val="000000"/>
        </w:rPr>
        <w:t xml:space="preserve">, </w:t>
      </w:r>
      <w:r w:rsidR="009C165F" w:rsidRPr="009227FF">
        <w:rPr>
          <w:i/>
          <w:color w:val="000000"/>
        </w:rPr>
        <w:t>en lo que va de</w:t>
      </w:r>
      <w:r w:rsidR="00450138" w:rsidRPr="009227FF">
        <w:rPr>
          <w:i/>
          <w:color w:val="000000"/>
        </w:rPr>
        <w:t>l 2021</w:t>
      </w:r>
      <w:r w:rsidR="0087796C" w:rsidRPr="009227FF">
        <w:rPr>
          <w:i/>
          <w:color w:val="000000"/>
        </w:rPr>
        <w:t>,</w:t>
      </w:r>
      <w:r w:rsidR="009C165F" w:rsidRPr="009227FF">
        <w:rPr>
          <w:i/>
          <w:color w:val="000000"/>
        </w:rPr>
        <w:t xml:space="preserve"> hubo </w:t>
      </w:r>
      <w:r w:rsidR="00EA673D" w:rsidRPr="009227FF">
        <w:rPr>
          <w:i/>
          <w:color w:val="000000"/>
        </w:rPr>
        <w:t>un crecimiento</w:t>
      </w:r>
      <w:r w:rsidRPr="009227FF">
        <w:rPr>
          <w:i/>
          <w:color w:val="000000"/>
        </w:rPr>
        <w:t xml:space="preserve"> del </w:t>
      </w:r>
      <w:r w:rsidR="002F5FB7" w:rsidRPr="009227FF">
        <w:rPr>
          <w:i/>
          <w:color w:val="000000"/>
        </w:rPr>
        <w:t>29</w:t>
      </w:r>
      <w:r w:rsidRPr="009227FF">
        <w:rPr>
          <w:i/>
          <w:color w:val="000000"/>
        </w:rPr>
        <w:t xml:space="preserve">% </w:t>
      </w:r>
      <w:r w:rsidR="002356DD" w:rsidRPr="009227FF">
        <w:rPr>
          <w:i/>
          <w:color w:val="000000"/>
        </w:rPr>
        <w:t>en transacciones</w:t>
      </w:r>
      <w:r w:rsidR="009D52DB" w:rsidRPr="009227FF">
        <w:rPr>
          <w:i/>
          <w:color w:val="000000"/>
        </w:rPr>
        <w:t xml:space="preserve"> y </w:t>
      </w:r>
      <w:r w:rsidR="002F5FB7" w:rsidRPr="009227FF">
        <w:rPr>
          <w:i/>
          <w:color w:val="000000"/>
        </w:rPr>
        <w:t>23</w:t>
      </w:r>
      <w:r w:rsidR="009D52DB" w:rsidRPr="009227FF">
        <w:rPr>
          <w:i/>
          <w:color w:val="000000"/>
        </w:rPr>
        <w:t>% en facturación</w:t>
      </w:r>
      <w:r w:rsidR="004008FB" w:rsidRPr="009227FF">
        <w:rPr>
          <w:i/>
          <w:color w:val="000000"/>
        </w:rPr>
        <w:t xml:space="preserve"> VS </w:t>
      </w:r>
      <w:r w:rsidRPr="009227FF">
        <w:rPr>
          <w:i/>
          <w:color w:val="000000"/>
        </w:rPr>
        <w:t>2020</w:t>
      </w:r>
      <w:r w:rsidR="00BC35C9" w:rsidRPr="009227FF">
        <w:rPr>
          <w:i/>
          <w:color w:val="000000"/>
        </w:rPr>
        <w:t xml:space="preserve">, lo que </w:t>
      </w:r>
      <w:r w:rsidR="00BC35C9" w:rsidRPr="009227FF">
        <w:rPr>
          <w:i/>
        </w:rPr>
        <w:t>evidencia cambios importantes en el manejo del gasto de los colombianos</w:t>
      </w:r>
    </w:p>
    <w:p w14:paraId="4BD8C08A" w14:textId="77777777" w:rsidR="00652FB5" w:rsidRPr="009227FF" w:rsidRDefault="00652FB5" w:rsidP="00E73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426908D5" w14:textId="15E6CD8A" w:rsidR="002F5FB7" w:rsidRPr="009227FF" w:rsidRDefault="00CD11EB" w:rsidP="002F5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9227FF">
        <w:rPr>
          <w:b/>
          <w:sz w:val="24"/>
          <w:szCs w:val="24"/>
        </w:rPr>
        <w:t xml:space="preserve">Bogotá, Colombia, </w:t>
      </w:r>
      <w:r w:rsidR="009C1017" w:rsidRPr="009227FF">
        <w:rPr>
          <w:b/>
          <w:sz w:val="24"/>
          <w:szCs w:val="24"/>
        </w:rPr>
        <w:t>ju</w:t>
      </w:r>
      <w:r w:rsidR="00655FAE" w:rsidRPr="009227FF">
        <w:rPr>
          <w:b/>
          <w:sz w:val="24"/>
          <w:szCs w:val="24"/>
        </w:rPr>
        <w:t>l</w:t>
      </w:r>
      <w:r w:rsidR="009C1017" w:rsidRPr="009227FF">
        <w:rPr>
          <w:b/>
          <w:sz w:val="24"/>
          <w:szCs w:val="24"/>
        </w:rPr>
        <w:t>io</w:t>
      </w:r>
      <w:r w:rsidRPr="009227FF">
        <w:rPr>
          <w:b/>
          <w:sz w:val="24"/>
          <w:szCs w:val="24"/>
        </w:rPr>
        <w:t xml:space="preserve"> de 202</w:t>
      </w:r>
      <w:r w:rsidR="00277743" w:rsidRPr="009227FF">
        <w:rPr>
          <w:b/>
          <w:sz w:val="24"/>
          <w:szCs w:val="24"/>
        </w:rPr>
        <w:t>1</w:t>
      </w:r>
      <w:r w:rsidRPr="009227FF">
        <w:rPr>
          <w:sz w:val="24"/>
          <w:szCs w:val="24"/>
        </w:rPr>
        <w:t xml:space="preserve"> – </w:t>
      </w:r>
      <w:r w:rsidR="00316FFB" w:rsidRPr="009227FF">
        <w:rPr>
          <w:sz w:val="24"/>
          <w:szCs w:val="24"/>
        </w:rPr>
        <w:t xml:space="preserve">A pesar del </w:t>
      </w:r>
      <w:r w:rsidR="00DD4016" w:rsidRPr="009227FF">
        <w:rPr>
          <w:sz w:val="24"/>
          <w:szCs w:val="24"/>
        </w:rPr>
        <w:t xml:space="preserve">impacto </w:t>
      </w:r>
      <w:r w:rsidR="00316FFB" w:rsidRPr="009227FF">
        <w:rPr>
          <w:sz w:val="24"/>
          <w:szCs w:val="24"/>
        </w:rPr>
        <w:t xml:space="preserve">que ha </w:t>
      </w:r>
      <w:r w:rsidR="00DD4016" w:rsidRPr="009227FF">
        <w:rPr>
          <w:sz w:val="24"/>
          <w:szCs w:val="24"/>
        </w:rPr>
        <w:t>tenido la coyuntura del COVID-19</w:t>
      </w:r>
      <w:r w:rsidR="00C5042C" w:rsidRPr="009227FF">
        <w:rPr>
          <w:sz w:val="24"/>
          <w:szCs w:val="24"/>
        </w:rPr>
        <w:t xml:space="preserve"> y más recientemente el Paro Nacional</w:t>
      </w:r>
      <w:r w:rsidR="00316FFB" w:rsidRPr="009227FF">
        <w:rPr>
          <w:sz w:val="24"/>
          <w:szCs w:val="24"/>
        </w:rPr>
        <w:t xml:space="preserve"> en la economía </w:t>
      </w:r>
      <w:r w:rsidR="00C5042C" w:rsidRPr="009227FF">
        <w:rPr>
          <w:sz w:val="24"/>
          <w:szCs w:val="24"/>
        </w:rPr>
        <w:t>del país</w:t>
      </w:r>
      <w:r w:rsidR="00316FFB" w:rsidRPr="009227FF">
        <w:rPr>
          <w:sz w:val="24"/>
          <w:szCs w:val="24"/>
        </w:rPr>
        <w:t>,</w:t>
      </w:r>
      <w:r w:rsidR="0013216C" w:rsidRPr="009227FF">
        <w:rPr>
          <w:sz w:val="24"/>
          <w:szCs w:val="24"/>
        </w:rPr>
        <w:t xml:space="preserve"> se</w:t>
      </w:r>
      <w:r w:rsidR="00450138" w:rsidRPr="009227FF">
        <w:rPr>
          <w:sz w:val="24"/>
          <w:szCs w:val="24"/>
        </w:rPr>
        <w:t xml:space="preserve"> ha</w:t>
      </w:r>
      <w:r w:rsidR="0013216C" w:rsidRPr="009227FF">
        <w:rPr>
          <w:sz w:val="24"/>
          <w:szCs w:val="24"/>
        </w:rPr>
        <w:t xml:space="preserve"> </w:t>
      </w:r>
      <w:r w:rsidR="00DD4016" w:rsidRPr="009227FF">
        <w:rPr>
          <w:sz w:val="24"/>
          <w:szCs w:val="24"/>
        </w:rPr>
        <w:t>evidencia</w:t>
      </w:r>
      <w:r w:rsidR="00450138" w:rsidRPr="009227FF">
        <w:rPr>
          <w:sz w:val="24"/>
          <w:szCs w:val="24"/>
        </w:rPr>
        <w:t>do</w:t>
      </w:r>
      <w:r w:rsidR="00FC70AC" w:rsidRPr="009227FF">
        <w:rPr>
          <w:sz w:val="24"/>
          <w:szCs w:val="24"/>
        </w:rPr>
        <w:t xml:space="preserve"> un</w:t>
      </w:r>
      <w:r w:rsidR="00783671" w:rsidRPr="009227FF">
        <w:rPr>
          <w:sz w:val="24"/>
          <w:szCs w:val="24"/>
        </w:rPr>
        <w:t xml:space="preserve"> crecimiento</w:t>
      </w:r>
      <w:r w:rsidR="00FC70AC" w:rsidRPr="009227FF">
        <w:rPr>
          <w:sz w:val="24"/>
          <w:szCs w:val="24"/>
        </w:rPr>
        <w:t xml:space="preserve"> favorable en la dinámica de consumo de los hogares colombi</w:t>
      </w:r>
      <w:r w:rsidR="00A066BE" w:rsidRPr="009227FF">
        <w:rPr>
          <w:sz w:val="24"/>
          <w:szCs w:val="24"/>
        </w:rPr>
        <w:t>an</w:t>
      </w:r>
      <w:r w:rsidR="00FC70AC" w:rsidRPr="009227FF">
        <w:rPr>
          <w:sz w:val="24"/>
          <w:szCs w:val="24"/>
        </w:rPr>
        <w:t>os</w:t>
      </w:r>
      <w:r w:rsidR="00450138" w:rsidRPr="009227FF">
        <w:rPr>
          <w:sz w:val="24"/>
          <w:szCs w:val="24"/>
        </w:rPr>
        <w:t xml:space="preserve"> a corte del primer semestre</w:t>
      </w:r>
      <w:r w:rsidR="0013216C" w:rsidRPr="009227FF">
        <w:rPr>
          <w:sz w:val="24"/>
          <w:szCs w:val="24"/>
        </w:rPr>
        <w:t xml:space="preserve"> </w:t>
      </w:r>
      <w:r w:rsidR="00C5042C" w:rsidRPr="009227FF">
        <w:rPr>
          <w:sz w:val="24"/>
          <w:szCs w:val="24"/>
        </w:rPr>
        <w:t>de</w:t>
      </w:r>
      <w:r w:rsidR="0013216C" w:rsidRPr="009227FF">
        <w:rPr>
          <w:sz w:val="24"/>
          <w:szCs w:val="24"/>
        </w:rPr>
        <w:t xml:space="preserve"> 2021</w:t>
      </w:r>
      <w:r w:rsidR="00655FAE" w:rsidRPr="009227FF">
        <w:rPr>
          <w:sz w:val="24"/>
          <w:szCs w:val="24"/>
        </w:rPr>
        <w:t xml:space="preserve"> </w:t>
      </w:r>
      <w:r w:rsidR="004E3CC8" w:rsidRPr="009227FF">
        <w:rPr>
          <w:sz w:val="24"/>
          <w:szCs w:val="24"/>
        </w:rPr>
        <w:t>puesto que</w:t>
      </w:r>
      <w:r w:rsidR="00450138" w:rsidRPr="009227FF">
        <w:rPr>
          <w:sz w:val="24"/>
          <w:szCs w:val="24"/>
        </w:rPr>
        <w:t xml:space="preserve"> se</w:t>
      </w:r>
      <w:r w:rsidR="0013216C" w:rsidRPr="009227FF">
        <w:rPr>
          <w:sz w:val="24"/>
          <w:szCs w:val="24"/>
        </w:rPr>
        <w:t xml:space="preserve"> </w:t>
      </w:r>
      <w:r w:rsidR="00574BDF" w:rsidRPr="009227FF">
        <w:rPr>
          <w:sz w:val="24"/>
          <w:szCs w:val="24"/>
        </w:rPr>
        <w:t xml:space="preserve">realizaron </w:t>
      </w:r>
      <w:r w:rsidR="002F5FB7" w:rsidRPr="009227FF">
        <w:rPr>
          <w:sz w:val="24"/>
          <w:szCs w:val="24"/>
        </w:rPr>
        <w:t>228</w:t>
      </w:r>
      <w:r w:rsidR="00C5042C" w:rsidRPr="009227FF">
        <w:rPr>
          <w:sz w:val="24"/>
          <w:szCs w:val="24"/>
        </w:rPr>
        <w:t xml:space="preserve"> </w:t>
      </w:r>
      <w:r w:rsidR="00574BDF" w:rsidRPr="009227FF">
        <w:rPr>
          <w:sz w:val="24"/>
          <w:szCs w:val="24"/>
        </w:rPr>
        <w:t>millones transacciones (</w:t>
      </w:r>
      <w:r w:rsidR="002F5FB7" w:rsidRPr="009227FF">
        <w:rPr>
          <w:sz w:val="24"/>
          <w:szCs w:val="24"/>
        </w:rPr>
        <w:t>29</w:t>
      </w:r>
      <w:r w:rsidR="00574BDF" w:rsidRPr="009227FF">
        <w:rPr>
          <w:sz w:val="24"/>
          <w:szCs w:val="24"/>
        </w:rPr>
        <w:t xml:space="preserve">% más VS 2020 y </w:t>
      </w:r>
      <w:r w:rsidR="002F5FB7" w:rsidRPr="009227FF">
        <w:rPr>
          <w:sz w:val="24"/>
          <w:szCs w:val="24"/>
        </w:rPr>
        <w:t>20</w:t>
      </w:r>
      <w:r w:rsidR="00481C7A" w:rsidRPr="009227FF">
        <w:rPr>
          <w:sz w:val="24"/>
          <w:szCs w:val="24"/>
        </w:rPr>
        <w:t>% más VS 2019</w:t>
      </w:r>
      <w:r w:rsidR="00574BDF" w:rsidRPr="009227FF">
        <w:rPr>
          <w:sz w:val="24"/>
          <w:szCs w:val="24"/>
        </w:rPr>
        <w:t>)</w:t>
      </w:r>
      <w:r w:rsidR="00450138" w:rsidRPr="009227FF">
        <w:rPr>
          <w:sz w:val="24"/>
          <w:szCs w:val="24"/>
        </w:rPr>
        <w:t xml:space="preserve"> a través de pagos electrónicos</w:t>
      </w:r>
      <w:r w:rsidR="00481C7A" w:rsidRPr="009227FF">
        <w:rPr>
          <w:sz w:val="24"/>
          <w:szCs w:val="24"/>
        </w:rPr>
        <w:t xml:space="preserve"> con una facturación de </w:t>
      </w:r>
      <w:r w:rsidR="002F5FB7" w:rsidRPr="009227FF">
        <w:rPr>
          <w:sz w:val="24"/>
          <w:szCs w:val="24"/>
        </w:rPr>
        <w:t>$26.8</w:t>
      </w:r>
      <w:r w:rsidR="00623626" w:rsidRPr="009227FF">
        <w:rPr>
          <w:sz w:val="24"/>
          <w:szCs w:val="24"/>
        </w:rPr>
        <w:t xml:space="preserve"> </w:t>
      </w:r>
      <w:r w:rsidR="00481C7A" w:rsidRPr="009227FF">
        <w:rPr>
          <w:sz w:val="24"/>
          <w:szCs w:val="24"/>
        </w:rPr>
        <w:t>billones de pesos (</w:t>
      </w:r>
      <w:r w:rsidR="002F5FB7" w:rsidRPr="009227FF">
        <w:rPr>
          <w:sz w:val="24"/>
          <w:szCs w:val="24"/>
        </w:rPr>
        <w:t>23</w:t>
      </w:r>
      <w:r w:rsidR="00481C7A" w:rsidRPr="009227FF">
        <w:rPr>
          <w:sz w:val="24"/>
          <w:szCs w:val="24"/>
        </w:rPr>
        <w:t xml:space="preserve">% más VS 2020 y </w:t>
      </w:r>
      <w:r w:rsidR="002F5FB7" w:rsidRPr="009227FF">
        <w:rPr>
          <w:sz w:val="24"/>
          <w:szCs w:val="24"/>
        </w:rPr>
        <w:t>4</w:t>
      </w:r>
      <w:r w:rsidR="00630809" w:rsidRPr="009227FF">
        <w:rPr>
          <w:sz w:val="24"/>
          <w:szCs w:val="24"/>
        </w:rPr>
        <w:t>% más VS 2019</w:t>
      </w:r>
      <w:r w:rsidR="00481C7A" w:rsidRPr="009227FF">
        <w:rPr>
          <w:sz w:val="24"/>
          <w:szCs w:val="24"/>
        </w:rPr>
        <w:t>)</w:t>
      </w:r>
      <w:r w:rsidR="00630809" w:rsidRPr="009227FF">
        <w:rPr>
          <w:sz w:val="24"/>
          <w:szCs w:val="24"/>
        </w:rPr>
        <w:t>.</w:t>
      </w:r>
    </w:p>
    <w:p w14:paraId="5267EEB0" w14:textId="77777777" w:rsidR="00BA700E" w:rsidRPr="009227FF" w:rsidRDefault="00BA700E" w:rsidP="002F5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5284A38D" w14:textId="2F83826A" w:rsidR="002F5FB7" w:rsidRPr="009227FF" w:rsidRDefault="00016A14" w:rsidP="002F5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9227FF">
        <w:rPr>
          <w:sz w:val="24"/>
          <w:szCs w:val="24"/>
        </w:rPr>
        <w:t>En los primeros meses (</w:t>
      </w:r>
      <w:r w:rsidR="004D0A36" w:rsidRPr="009227FF">
        <w:rPr>
          <w:sz w:val="24"/>
          <w:szCs w:val="24"/>
        </w:rPr>
        <w:t xml:space="preserve">enero </w:t>
      </w:r>
      <w:r w:rsidRPr="009227FF">
        <w:rPr>
          <w:sz w:val="24"/>
          <w:szCs w:val="24"/>
        </w:rPr>
        <w:t xml:space="preserve">y </w:t>
      </w:r>
      <w:r w:rsidR="004D0A36" w:rsidRPr="009227FF">
        <w:rPr>
          <w:sz w:val="24"/>
          <w:szCs w:val="24"/>
        </w:rPr>
        <w:t>feb</w:t>
      </w:r>
      <w:r w:rsidRPr="009227FF">
        <w:rPr>
          <w:sz w:val="24"/>
          <w:szCs w:val="24"/>
        </w:rPr>
        <w:t xml:space="preserve">rero) </w:t>
      </w:r>
      <w:r w:rsidR="00623626" w:rsidRPr="009227FF">
        <w:rPr>
          <w:sz w:val="24"/>
          <w:szCs w:val="24"/>
        </w:rPr>
        <w:t xml:space="preserve">se observó </w:t>
      </w:r>
      <w:r w:rsidRPr="009227FF">
        <w:rPr>
          <w:sz w:val="24"/>
          <w:szCs w:val="24"/>
        </w:rPr>
        <w:t xml:space="preserve">un decrecimiento de las transacciones y facturación a través de pagos </w:t>
      </w:r>
      <w:r w:rsidR="00BA700E" w:rsidRPr="009227FF">
        <w:rPr>
          <w:sz w:val="24"/>
          <w:szCs w:val="24"/>
        </w:rPr>
        <w:t>electrónicos,</w:t>
      </w:r>
      <w:r w:rsidR="004329E7" w:rsidRPr="009227FF">
        <w:rPr>
          <w:sz w:val="24"/>
          <w:szCs w:val="24"/>
        </w:rPr>
        <w:t xml:space="preserve"> pero,</w:t>
      </w:r>
      <w:r w:rsidRPr="009227FF">
        <w:rPr>
          <w:sz w:val="24"/>
          <w:szCs w:val="24"/>
        </w:rPr>
        <w:t xml:space="preserve"> de</w:t>
      </w:r>
      <w:r w:rsidR="004329E7" w:rsidRPr="009227FF">
        <w:rPr>
          <w:sz w:val="24"/>
          <w:szCs w:val="24"/>
        </w:rPr>
        <w:t>sde</w:t>
      </w:r>
      <w:r w:rsidRPr="009227FF">
        <w:rPr>
          <w:sz w:val="24"/>
          <w:szCs w:val="24"/>
        </w:rPr>
        <w:t xml:space="preserve"> marzo</w:t>
      </w:r>
      <w:r w:rsidR="004D0A36" w:rsidRPr="009227FF">
        <w:rPr>
          <w:sz w:val="24"/>
          <w:szCs w:val="24"/>
        </w:rPr>
        <w:t xml:space="preserve"> y los meses siguientes hasta junio,</w:t>
      </w:r>
      <w:r w:rsidRPr="009227FF">
        <w:rPr>
          <w:sz w:val="24"/>
          <w:szCs w:val="24"/>
        </w:rPr>
        <w:t xml:space="preserve"> </w:t>
      </w:r>
      <w:r w:rsidR="004D0A36" w:rsidRPr="009227FF">
        <w:rPr>
          <w:sz w:val="24"/>
          <w:szCs w:val="24"/>
        </w:rPr>
        <w:t>se v</w:t>
      </w:r>
      <w:r w:rsidR="004329E7" w:rsidRPr="009227FF">
        <w:rPr>
          <w:sz w:val="24"/>
          <w:szCs w:val="24"/>
        </w:rPr>
        <w:t>io</w:t>
      </w:r>
      <w:r w:rsidR="004D0A36" w:rsidRPr="009227FF">
        <w:rPr>
          <w:sz w:val="24"/>
          <w:szCs w:val="24"/>
        </w:rPr>
        <w:t xml:space="preserve"> una </w:t>
      </w:r>
      <w:r w:rsidR="002F5FB7" w:rsidRPr="009227FF">
        <w:rPr>
          <w:sz w:val="24"/>
          <w:szCs w:val="24"/>
        </w:rPr>
        <w:t>recuperación de la actividad comercial</w:t>
      </w:r>
      <w:r w:rsidR="004D0A36" w:rsidRPr="009227FF">
        <w:rPr>
          <w:sz w:val="24"/>
          <w:szCs w:val="24"/>
        </w:rPr>
        <w:t xml:space="preserve"> con </w:t>
      </w:r>
      <w:r w:rsidR="002F5FB7" w:rsidRPr="009227FF">
        <w:rPr>
          <w:sz w:val="24"/>
          <w:szCs w:val="24"/>
        </w:rPr>
        <w:t>tasas de crecimiento por encima del 30%</w:t>
      </w:r>
      <w:r w:rsidR="004D0A36" w:rsidRPr="009227FF">
        <w:rPr>
          <w:sz w:val="24"/>
          <w:szCs w:val="24"/>
        </w:rPr>
        <w:t>. En el mes de junio los crecimientos en transacciones es</w:t>
      </w:r>
      <w:r w:rsidR="004329E7" w:rsidRPr="009227FF">
        <w:rPr>
          <w:sz w:val="24"/>
          <w:szCs w:val="24"/>
        </w:rPr>
        <w:t>tuvieron</w:t>
      </w:r>
      <w:r w:rsidR="004D0A36" w:rsidRPr="009227FF">
        <w:rPr>
          <w:sz w:val="24"/>
          <w:szCs w:val="24"/>
        </w:rPr>
        <w:t xml:space="preserve"> por encima del 59% y en facturación del 44%. </w:t>
      </w:r>
    </w:p>
    <w:p w14:paraId="59E77E9D" w14:textId="77777777" w:rsidR="001F290E" w:rsidRPr="009227FF" w:rsidRDefault="001F290E" w:rsidP="002F5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3872D0CF" w14:textId="056589C3" w:rsidR="002F5FB7" w:rsidRPr="009227FF" w:rsidRDefault="00623626" w:rsidP="0011781B">
      <w:pPr>
        <w:spacing w:line="240" w:lineRule="auto"/>
        <w:jc w:val="both"/>
        <w:rPr>
          <w:sz w:val="24"/>
          <w:szCs w:val="24"/>
        </w:rPr>
      </w:pPr>
      <w:r w:rsidRPr="009227FF">
        <w:rPr>
          <w:sz w:val="24"/>
          <w:szCs w:val="24"/>
        </w:rPr>
        <w:t>La</w:t>
      </w:r>
      <w:r w:rsidR="00206EB3" w:rsidRPr="009227FF">
        <w:rPr>
          <w:sz w:val="24"/>
          <w:szCs w:val="24"/>
        </w:rPr>
        <w:t xml:space="preserve"> aceptación de los pagos </w:t>
      </w:r>
      <w:r w:rsidR="001F290E" w:rsidRPr="009227FF">
        <w:rPr>
          <w:sz w:val="24"/>
          <w:szCs w:val="24"/>
        </w:rPr>
        <w:t>electrónicos</w:t>
      </w:r>
      <w:r w:rsidRPr="009227FF">
        <w:rPr>
          <w:sz w:val="24"/>
          <w:szCs w:val="24"/>
        </w:rPr>
        <w:t xml:space="preserve"> en el consumo de los colombianos</w:t>
      </w:r>
      <w:r w:rsidR="004329E7" w:rsidRPr="009227FF">
        <w:rPr>
          <w:sz w:val="24"/>
          <w:szCs w:val="24"/>
        </w:rPr>
        <w:t xml:space="preserve"> ha sido</w:t>
      </w:r>
      <w:r w:rsidRPr="009227FF">
        <w:rPr>
          <w:sz w:val="24"/>
          <w:szCs w:val="24"/>
        </w:rPr>
        <w:t xml:space="preserve"> cada vez mayor </w:t>
      </w:r>
      <w:r w:rsidR="004329E7" w:rsidRPr="009227FF">
        <w:rPr>
          <w:sz w:val="24"/>
          <w:szCs w:val="24"/>
        </w:rPr>
        <w:t xml:space="preserve">y </w:t>
      </w:r>
      <w:r w:rsidRPr="009227FF">
        <w:rPr>
          <w:sz w:val="24"/>
          <w:szCs w:val="24"/>
        </w:rPr>
        <w:t xml:space="preserve">esto se </w:t>
      </w:r>
      <w:r w:rsidR="004329E7" w:rsidRPr="009227FF">
        <w:rPr>
          <w:sz w:val="24"/>
          <w:szCs w:val="24"/>
        </w:rPr>
        <w:t>ha visto</w:t>
      </w:r>
      <w:r w:rsidRPr="009227FF">
        <w:rPr>
          <w:sz w:val="24"/>
          <w:szCs w:val="24"/>
        </w:rPr>
        <w:t xml:space="preserve"> reflejado cuando los co</w:t>
      </w:r>
      <w:r w:rsidR="001F290E" w:rsidRPr="009227FF">
        <w:rPr>
          <w:sz w:val="24"/>
          <w:szCs w:val="24"/>
        </w:rPr>
        <w:t>nsumidores</w:t>
      </w:r>
      <w:r w:rsidR="004329E7" w:rsidRPr="009227FF">
        <w:rPr>
          <w:sz w:val="24"/>
          <w:szCs w:val="24"/>
        </w:rPr>
        <w:t xml:space="preserve"> transan </w:t>
      </w:r>
      <w:r w:rsidR="001F290E" w:rsidRPr="009227FF">
        <w:rPr>
          <w:sz w:val="24"/>
          <w:szCs w:val="24"/>
        </w:rPr>
        <w:t xml:space="preserve">con tarjeta crédito y débito en diferentes categorías y en montos más pequeños. El año pasado el </w:t>
      </w:r>
      <w:proofErr w:type="gramStart"/>
      <w:r w:rsidR="001F290E" w:rsidRPr="009227FF">
        <w:rPr>
          <w:sz w:val="24"/>
          <w:szCs w:val="24"/>
        </w:rPr>
        <w:t>ticket</w:t>
      </w:r>
      <w:proofErr w:type="gramEnd"/>
      <w:r w:rsidR="001F290E" w:rsidRPr="009227FF">
        <w:rPr>
          <w:sz w:val="24"/>
          <w:szCs w:val="24"/>
        </w:rPr>
        <w:t xml:space="preserve"> promedio est</w:t>
      </w:r>
      <w:r w:rsidR="004329E7" w:rsidRPr="009227FF">
        <w:rPr>
          <w:sz w:val="24"/>
          <w:szCs w:val="24"/>
        </w:rPr>
        <w:t>uvo</w:t>
      </w:r>
      <w:r w:rsidR="001F290E" w:rsidRPr="009227FF">
        <w:rPr>
          <w:sz w:val="24"/>
          <w:szCs w:val="24"/>
        </w:rPr>
        <w:t xml:space="preserve"> alrededor de los $145</w:t>
      </w:r>
      <w:r w:rsidR="004329E7" w:rsidRPr="009227FF">
        <w:rPr>
          <w:sz w:val="24"/>
          <w:szCs w:val="24"/>
        </w:rPr>
        <w:t xml:space="preserve"> </w:t>
      </w:r>
      <w:r w:rsidR="001F290E" w:rsidRPr="009227FF">
        <w:rPr>
          <w:sz w:val="24"/>
          <w:szCs w:val="24"/>
        </w:rPr>
        <w:t xml:space="preserve">mil pesos </w:t>
      </w:r>
      <w:r w:rsidR="004329E7" w:rsidRPr="009227FF">
        <w:rPr>
          <w:sz w:val="24"/>
          <w:szCs w:val="24"/>
        </w:rPr>
        <w:t>en comparación con los</w:t>
      </w:r>
      <w:r w:rsidR="001F290E" w:rsidRPr="009227FF">
        <w:rPr>
          <w:sz w:val="24"/>
          <w:szCs w:val="24"/>
        </w:rPr>
        <w:t xml:space="preserve"> $113mil</w:t>
      </w:r>
      <w:r w:rsidR="004329E7" w:rsidRPr="009227FF">
        <w:rPr>
          <w:sz w:val="24"/>
          <w:szCs w:val="24"/>
        </w:rPr>
        <w:t xml:space="preserve"> de 2021.</w:t>
      </w:r>
    </w:p>
    <w:p w14:paraId="264484FF" w14:textId="2362AEEC" w:rsidR="00884BDA" w:rsidRPr="009227FF" w:rsidRDefault="00FC70AC">
      <w:pPr>
        <w:spacing w:line="240" w:lineRule="auto"/>
        <w:jc w:val="both"/>
        <w:rPr>
          <w:sz w:val="24"/>
          <w:szCs w:val="24"/>
        </w:rPr>
      </w:pPr>
      <w:r w:rsidRPr="009227FF">
        <w:rPr>
          <w:sz w:val="24"/>
          <w:szCs w:val="24"/>
        </w:rPr>
        <w:t>De acuerdo con un análisis</w:t>
      </w:r>
      <w:r w:rsidR="00CD11EB" w:rsidRPr="009227FF">
        <w:rPr>
          <w:sz w:val="24"/>
          <w:szCs w:val="24"/>
        </w:rPr>
        <w:t xml:space="preserve"> especializado de CredibanCo, red líder administradora y desarrolladora de medios de pagos electrónicos de bajo valor en Colombia</w:t>
      </w:r>
      <w:r w:rsidR="00214C72" w:rsidRPr="009227FF">
        <w:rPr>
          <w:sz w:val="24"/>
          <w:szCs w:val="24"/>
        </w:rPr>
        <w:t xml:space="preserve">, </w:t>
      </w:r>
      <w:r w:rsidR="004329E7" w:rsidRPr="009227FF">
        <w:rPr>
          <w:sz w:val="24"/>
          <w:szCs w:val="24"/>
        </w:rPr>
        <w:t xml:space="preserve">la cual celebra este </w:t>
      </w:r>
      <w:r w:rsidR="00214C72" w:rsidRPr="009227FF">
        <w:rPr>
          <w:sz w:val="24"/>
          <w:szCs w:val="24"/>
        </w:rPr>
        <w:t>año medio siglo transformando los medios de pago</w:t>
      </w:r>
      <w:r w:rsidR="00CD11EB" w:rsidRPr="009227FF">
        <w:rPr>
          <w:sz w:val="24"/>
          <w:szCs w:val="24"/>
        </w:rPr>
        <w:t xml:space="preserve">, </w:t>
      </w:r>
      <w:r w:rsidR="00E8727A" w:rsidRPr="009227FF">
        <w:rPr>
          <w:sz w:val="24"/>
          <w:szCs w:val="24"/>
        </w:rPr>
        <w:t xml:space="preserve">se </w:t>
      </w:r>
      <w:r w:rsidR="007569CA" w:rsidRPr="009227FF">
        <w:rPr>
          <w:sz w:val="24"/>
          <w:szCs w:val="24"/>
        </w:rPr>
        <w:t>identific</w:t>
      </w:r>
      <w:r w:rsidR="004329E7" w:rsidRPr="009227FF">
        <w:rPr>
          <w:sz w:val="24"/>
          <w:szCs w:val="24"/>
        </w:rPr>
        <w:t>ó</w:t>
      </w:r>
      <w:r w:rsidR="007569CA" w:rsidRPr="009227FF">
        <w:rPr>
          <w:sz w:val="24"/>
          <w:szCs w:val="24"/>
        </w:rPr>
        <w:t xml:space="preserve"> también </w:t>
      </w:r>
      <w:r w:rsidR="00E83F6A" w:rsidRPr="009227FF">
        <w:rPr>
          <w:sz w:val="24"/>
          <w:szCs w:val="24"/>
        </w:rPr>
        <w:t xml:space="preserve">que </w:t>
      </w:r>
      <w:r w:rsidR="00884BDA" w:rsidRPr="009227FF">
        <w:rPr>
          <w:sz w:val="24"/>
          <w:szCs w:val="24"/>
        </w:rPr>
        <w:t>las actividades que</w:t>
      </w:r>
      <w:r w:rsidR="007C610A" w:rsidRPr="009227FF">
        <w:rPr>
          <w:sz w:val="24"/>
          <w:szCs w:val="24"/>
        </w:rPr>
        <w:t xml:space="preserve"> en este semestre</w:t>
      </w:r>
      <w:r w:rsidR="00884BDA" w:rsidRPr="009227FF">
        <w:rPr>
          <w:sz w:val="24"/>
          <w:szCs w:val="24"/>
        </w:rPr>
        <w:t xml:space="preserve"> tuvieron </w:t>
      </w:r>
      <w:r w:rsidR="00214C72" w:rsidRPr="009227FF">
        <w:rPr>
          <w:sz w:val="24"/>
          <w:szCs w:val="24"/>
        </w:rPr>
        <w:t>crecimientos superiore</w:t>
      </w:r>
      <w:r w:rsidR="007C610A" w:rsidRPr="009227FF">
        <w:rPr>
          <w:sz w:val="24"/>
          <w:szCs w:val="24"/>
        </w:rPr>
        <w:t>s</w:t>
      </w:r>
      <w:r w:rsidR="00214C72" w:rsidRPr="009227FF">
        <w:rPr>
          <w:sz w:val="24"/>
          <w:szCs w:val="24"/>
        </w:rPr>
        <w:t xml:space="preserve"> al 27%</w:t>
      </w:r>
      <w:r w:rsidR="000E5925" w:rsidRPr="009227FF">
        <w:rPr>
          <w:sz w:val="24"/>
          <w:szCs w:val="24"/>
        </w:rPr>
        <w:t xml:space="preserve"> versus el mismo periodo del año pasado</w:t>
      </w:r>
      <w:r w:rsidR="00214C72" w:rsidRPr="009227FF">
        <w:rPr>
          <w:sz w:val="24"/>
          <w:szCs w:val="24"/>
        </w:rPr>
        <w:t xml:space="preserve"> </w:t>
      </w:r>
      <w:r w:rsidR="004329E7" w:rsidRPr="009227FF">
        <w:rPr>
          <w:sz w:val="24"/>
          <w:szCs w:val="24"/>
        </w:rPr>
        <w:t xml:space="preserve"> fueron</w:t>
      </w:r>
      <w:r w:rsidR="000E5925" w:rsidRPr="009227FF">
        <w:rPr>
          <w:sz w:val="24"/>
          <w:szCs w:val="24"/>
        </w:rPr>
        <w:t>;</w:t>
      </w:r>
      <w:r w:rsidR="007C610A" w:rsidRPr="009227FF">
        <w:rPr>
          <w:sz w:val="24"/>
          <w:szCs w:val="24"/>
        </w:rPr>
        <w:t xml:space="preserve"> </w:t>
      </w:r>
      <w:r w:rsidR="004329E7" w:rsidRPr="009227FF">
        <w:rPr>
          <w:sz w:val="24"/>
          <w:szCs w:val="24"/>
        </w:rPr>
        <w:t>V</w:t>
      </w:r>
      <w:r w:rsidR="000E5925" w:rsidRPr="009227FF">
        <w:rPr>
          <w:sz w:val="24"/>
          <w:szCs w:val="24"/>
        </w:rPr>
        <w:t>estuario</w:t>
      </w:r>
      <w:r w:rsidR="007C610A" w:rsidRPr="009227FF">
        <w:rPr>
          <w:sz w:val="24"/>
          <w:szCs w:val="24"/>
        </w:rPr>
        <w:t xml:space="preserve"> (45%), restaurantes y comidas rápidas (34%), servicios para vehículos (33%), viajes y turismo (32%) y </w:t>
      </w:r>
      <w:r w:rsidR="00214C72" w:rsidRPr="009227FF">
        <w:rPr>
          <w:sz w:val="24"/>
          <w:szCs w:val="24"/>
        </w:rPr>
        <w:t>las relacionados con ventas por domicilio</w:t>
      </w:r>
      <w:r w:rsidR="007C610A" w:rsidRPr="009227FF">
        <w:rPr>
          <w:sz w:val="24"/>
          <w:szCs w:val="24"/>
        </w:rPr>
        <w:t xml:space="preserve"> (27%)</w:t>
      </w:r>
      <w:r w:rsidR="00623626" w:rsidRPr="009227FF">
        <w:rPr>
          <w:sz w:val="24"/>
          <w:szCs w:val="24"/>
        </w:rPr>
        <w:t xml:space="preserve">. Estas categorías </w:t>
      </w:r>
      <w:r w:rsidR="00884BDA" w:rsidRPr="009227FF">
        <w:rPr>
          <w:sz w:val="24"/>
          <w:szCs w:val="24"/>
        </w:rPr>
        <w:t>concentra</w:t>
      </w:r>
      <w:r w:rsidR="004329E7" w:rsidRPr="009227FF">
        <w:rPr>
          <w:sz w:val="24"/>
          <w:szCs w:val="24"/>
        </w:rPr>
        <w:t>ro</w:t>
      </w:r>
      <w:r w:rsidR="00884BDA" w:rsidRPr="009227FF">
        <w:rPr>
          <w:sz w:val="24"/>
          <w:szCs w:val="24"/>
        </w:rPr>
        <w:t xml:space="preserve">n prácticamente el </w:t>
      </w:r>
      <w:r w:rsidR="007C610A" w:rsidRPr="009227FF">
        <w:rPr>
          <w:sz w:val="24"/>
          <w:szCs w:val="24"/>
        </w:rPr>
        <w:t>34</w:t>
      </w:r>
      <w:r w:rsidR="00884BDA" w:rsidRPr="009227FF">
        <w:rPr>
          <w:sz w:val="24"/>
          <w:szCs w:val="24"/>
        </w:rPr>
        <w:t>% de las transacciones</w:t>
      </w:r>
      <w:r w:rsidR="00623626" w:rsidRPr="009227FF">
        <w:rPr>
          <w:sz w:val="24"/>
          <w:szCs w:val="24"/>
        </w:rPr>
        <w:t xml:space="preserve"> totales.</w:t>
      </w:r>
    </w:p>
    <w:p w14:paraId="7DF2DFD0" w14:textId="69812A44" w:rsidR="00A679DC" w:rsidRPr="009227FF" w:rsidRDefault="00A679DC" w:rsidP="002D3C15">
      <w:pPr>
        <w:spacing w:line="240" w:lineRule="auto"/>
        <w:jc w:val="both"/>
        <w:rPr>
          <w:sz w:val="24"/>
          <w:szCs w:val="24"/>
        </w:rPr>
      </w:pPr>
    </w:p>
    <w:p w14:paraId="61CD361C" w14:textId="23373BFD" w:rsidR="00A679DC" w:rsidRPr="009227FF" w:rsidRDefault="00A679DC" w:rsidP="00A679DC">
      <w:pPr>
        <w:spacing w:line="240" w:lineRule="auto"/>
        <w:jc w:val="both"/>
        <w:rPr>
          <w:sz w:val="24"/>
          <w:szCs w:val="24"/>
        </w:rPr>
      </w:pPr>
      <w:r w:rsidRPr="009227FF">
        <w:rPr>
          <w:sz w:val="24"/>
          <w:szCs w:val="24"/>
        </w:rPr>
        <w:t xml:space="preserve">Las cuatro ciudades </w:t>
      </w:r>
      <w:r w:rsidR="000E5925" w:rsidRPr="009227FF">
        <w:rPr>
          <w:sz w:val="24"/>
          <w:szCs w:val="24"/>
        </w:rPr>
        <w:t>que representa</w:t>
      </w:r>
      <w:r w:rsidR="004329E7" w:rsidRPr="009227FF">
        <w:rPr>
          <w:sz w:val="24"/>
          <w:szCs w:val="24"/>
        </w:rPr>
        <w:t>ro</w:t>
      </w:r>
      <w:r w:rsidR="000E5925" w:rsidRPr="009227FF">
        <w:rPr>
          <w:sz w:val="24"/>
          <w:szCs w:val="24"/>
        </w:rPr>
        <w:t>n el 50% de</w:t>
      </w:r>
      <w:r w:rsidR="004329E7" w:rsidRPr="009227FF">
        <w:rPr>
          <w:sz w:val="24"/>
          <w:szCs w:val="24"/>
        </w:rPr>
        <w:t xml:space="preserve"> las</w:t>
      </w:r>
      <w:r w:rsidRPr="009227FF">
        <w:rPr>
          <w:sz w:val="24"/>
          <w:szCs w:val="24"/>
        </w:rPr>
        <w:t xml:space="preserve"> </w:t>
      </w:r>
      <w:r w:rsidR="008B63CC" w:rsidRPr="009227FF">
        <w:rPr>
          <w:sz w:val="24"/>
          <w:szCs w:val="24"/>
        </w:rPr>
        <w:t xml:space="preserve">transacciones </w:t>
      </w:r>
      <w:r w:rsidRPr="009227FF">
        <w:rPr>
          <w:sz w:val="24"/>
          <w:szCs w:val="24"/>
        </w:rPr>
        <w:t>a nivel nacional en el segundo semestre</w:t>
      </w:r>
      <w:r w:rsidR="004329E7" w:rsidRPr="009227FF">
        <w:rPr>
          <w:sz w:val="24"/>
          <w:szCs w:val="24"/>
        </w:rPr>
        <w:t xml:space="preserve"> fueron</w:t>
      </w:r>
      <w:r w:rsidRPr="009227FF">
        <w:rPr>
          <w:sz w:val="24"/>
          <w:szCs w:val="24"/>
        </w:rPr>
        <w:t xml:space="preserve">; </w:t>
      </w:r>
      <w:r w:rsidR="008B63CC" w:rsidRPr="009227FF">
        <w:rPr>
          <w:sz w:val="24"/>
          <w:szCs w:val="24"/>
        </w:rPr>
        <w:t xml:space="preserve">Bogotá </w:t>
      </w:r>
      <w:r w:rsidRPr="009227FF">
        <w:rPr>
          <w:sz w:val="24"/>
          <w:szCs w:val="24"/>
        </w:rPr>
        <w:t>(</w:t>
      </w:r>
      <w:r w:rsidR="000E5925" w:rsidRPr="009227FF">
        <w:rPr>
          <w:sz w:val="24"/>
          <w:szCs w:val="24"/>
        </w:rPr>
        <w:t>25</w:t>
      </w:r>
      <w:r w:rsidRPr="009227FF">
        <w:rPr>
          <w:sz w:val="24"/>
          <w:szCs w:val="24"/>
        </w:rPr>
        <w:t xml:space="preserve">%), </w:t>
      </w:r>
      <w:r w:rsidR="000E5925" w:rsidRPr="009227FF">
        <w:rPr>
          <w:sz w:val="24"/>
          <w:szCs w:val="24"/>
        </w:rPr>
        <w:t>Medellín</w:t>
      </w:r>
      <w:r w:rsidRPr="009227FF">
        <w:rPr>
          <w:sz w:val="24"/>
          <w:szCs w:val="24"/>
        </w:rPr>
        <w:t xml:space="preserve"> (</w:t>
      </w:r>
      <w:r w:rsidR="000E5925" w:rsidRPr="009227FF">
        <w:rPr>
          <w:sz w:val="24"/>
          <w:szCs w:val="24"/>
        </w:rPr>
        <w:t>14</w:t>
      </w:r>
      <w:r w:rsidRPr="009227FF">
        <w:rPr>
          <w:sz w:val="24"/>
          <w:szCs w:val="24"/>
        </w:rPr>
        <w:t xml:space="preserve">%), </w:t>
      </w:r>
      <w:r w:rsidR="000E5925" w:rsidRPr="009227FF">
        <w:rPr>
          <w:sz w:val="24"/>
          <w:szCs w:val="24"/>
        </w:rPr>
        <w:t>Cali</w:t>
      </w:r>
      <w:r w:rsidRPr="009227FF">
        <w:rPr>
          <w:sz w:val="24"/>
          <w:szCs w:val="24"/>
        </w:rPr>
        <w:t xml:space="preserve"> (</w:t>
      </w:r>
      <w:r w:rsidR="000E5925" w:rsidRPr="009227FF">
        <w:rPr>
          <w:sz w:val="24"/>
          <w:szCs w:val="24"/>
        </w:rPr>
        <w:t>7</w:t>
      </w:r>
      <w:r w:rsidRPr="009227FF">
        <w:rPr>
          <w:sz w:val="24"/>
          <w:szCs w:val="24"/>
        </w:rPr>
        <w:t>%) y</w:t>
      </w:r>
      <w:r w:rsidR="000E5925" w:rsidRPr="009227FF">
        <w:rPr>
          <w:sz w:val="24"/>
          <w:szCs w:val="24"/>
        </w:rPr>
        <w:t xml:space="preserve"> Barranquilla </w:t>
      </w:r>
      <w:r w:rsidRPr="009227FF">
        <w:rPr>
          <w:sz w:val="24"/>
          <w:szCs w:val="24"/>
        </w:rPr>
        <w:t>(</w:t>
      </w:r>
      <w:r w:rsidR="000E5925" w:rsidRPr="009227FF">
        <w:rPr>
          <w:sz w:val="24"/>
          <w:szCs w:val="24"/>
        </w:rPr>
        <w:t>4</w:t>
      </w:r>
      <w:r w:rsidRPr="009227FF">
        <w:rPr>
          <w:sz w:val="24"/>
          <w:szCs w:val="24"/>
        </w:rPr>
        <w:t>%)</w:t>
      </w:r>
      <w:r w:rsidR="000E5925" w:rsidRPr="009227FF">
        <w:rPr>
          <w:sz w:val="24"/>
          <w:szCs w:val="24"/>
        </w:rPr>
        <w:t>. De las 4 ciudades Barranquilla</w:t>
      </w:r>
      <w:r w:rsidR="004329E7" w:rsidRPr="009227FF">
        <w:rPr>
          <w:sz w:val="24"/>
          <w:szCs w:val="24"/>
        </w:rPr>
        <w:t xml:space="preserve"> fue</w:t>
      </w:r>
      <w:r w:rsidR="000E5925" w:rsidRPr="009227FF">
        <w:rPr>
          <w:sz w:val="24"/>
          <w:szCs w:val="24"/>
        </w:rPr>
        <w:t xml:space="preserve"> la que tuvo mayor crecimiento </w:t>
      </w:r>
      <w:r w:rsidRPr="009227FF">
        <w:rPr>
          <w:sz w:val="24"/>
          <w:szCs w:val="24"/>
        </w:rPr>
        <w:t xml:space="preserve">teniendo un crecimiento del </w:t>
      </w:r>
      <w:r w:rsidR="000E5925" w:rsidRPr="009227FF">
        <w:rPr>
          <w:sz w:val="24"/>
          <w:szCs w:val="24"/>
        </w:rPr>
        <w:t>33</w:t>
      </w:r>
      <w:r w:rsidRPr="009227FF">
        <w:rPr>
          <w:sz w:val="24"/>
          <w:szCs w:val="24"/>
        </w:rPr>
        <w:t>% con respecto al anterior semestre.</w:t>
      </w:r>
    </w:p>
    <w:p w14:paraId="40475159" w14:textId="77777777" w:rsidR="004D0A36" w:rsidRPr="009227FF" w:rsidRDefault="004D0A36" w:rsidP="00A679D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E88003" w14:textId="5D44E6D5" w:rsidR="002D0211" w:rsidRPr="009227FF" w:rsidRDefault="00ED3F40" w:rsidP="002D0211">
      <w:pPr>
        <w:spacing w:line="240" w:lineRule="auto"/>
        <w:jc w:val="both"/>
        <w:rPr>
          <w:sz w:val="24"/>
          <w:szCs w:val="24"/>
        </w:rPr>
      </w:pPr>
      <w:r w:rsidRPr="009227FF">
        <w:rPr>
          <w:sz w:val="24"/>
          <w:szCs w:val="24"/>
        </w:rPr>
        <w:t xml:space="preserve">Finalmente, frente al comportamiento por ambientes (es decir presencialidad </w:t>
      </w:r>
      <w:r w:rsidR="00655FAE" w:rsidRPr="009227FF">
        <w:rPr>
          <w:sz w:val="24"/>
          <w:szCs w:val="24"/>
        </w:rPr>
        <w:t>vs</w:t>
      </w:r>
      <w:r w:rsidRPr="009227FF">
        <w:rPr>
          <w:sz w:val="24"/>
          <w:szCs w:val="24"/>
        </w:rPr>
        <w:t xml:space="preserve"> canales digitales) a corte del primer semestre del año, la preferencia de los colombianos se mantuvo en realizar compras en puntos de venta con </w:t>
      </w:r>
      <w:r w:rsidR="003D60BE" w:rsidRPr="009227FF">
        <w:rPr>
          <w:sz w:val="24"/>
          <w:szCs w:val="24"/>
        </w:rPr>
        <w:t>162</w:t>
      </w:r>
      <w:r w:rsidRPr="009227FF">
        <w:rPr>
          <w:sz w:val="24"/>
          <w:szCs w:val="24"/>
        </w:rPr>
        <w:t xml:space="preserve"> millones de transacciones </w:t>
      </w:r>
      <w:r w:rsidR="002D0211" w:rsidRPr="009227FF">
        <w:rPr>
          <w:sz w:val="24"/>
          <w:szCs w:val="24"/>
        </w:rPr>
        <w:t xml:space="preserve">(23% crecimiento), </w:t>
      </w:r>
      <w:r w:rsidRPr="009227FF">
        <w:rPr>
          <w:sz w:val="24"/>
          <w:szCs w:val="24"/>
        </w:rPr>
        <w:t xml:space="preserve">equivalentes a </w:t>
      </w:r>
      <w:r w:rsidR="003D60BE" w:rsidRPr="009227FF">
        <w:rPr>
          <w:sz w:val="24"/>
          <w:szCs w:val="24"/>
        </w:rPr>
        <w:t>$20</w:t>
      </w:r>
      <w:r w:rsidRPr="009227FF">
        <w:rPr>
          <w:sz w:val="24"/>
          <w:szCs w:val="24"/>
        </w:rPr>
        <w:t xml:space="preserve"> billones de pesos en facturació</w:t>
      </w:r>
      <w:r w:rsidR="002D0211" w:rsidRPr="009227FF">
        <w:rPr>
          <w:sz w:val="24"/>
          <w:szCs w:val="24"/>
        </w:rPr>
        <w:t>n</w:t>
      </w:r>
      <w:r w:rsidRPr="009227FF">
        <w:rPr>
          <w:sz w:val="24"/>
          <w:szCs w:val="24"/>
        </w:rPr>
        <w:t>, mientras que el e</w:t>
      </w:r>
      <w:r w:rsidR="003D60BE" w:rsidRPr="009227FF">
        <w:rPr>
          <w:sz w:val="24"/>
          <w:szCs w:val="24"/>
        </w:rPr>
        <w:t>- C</w:t>
      </w:r>
      <w:r w:rsidRPr="009227FF">
        <w:rPr>
          <w:sz w:val="24"/>
          <w:szCs w:val="24"/>
        </w:rPr>
        <w:t xml:space="preserve">ommerce </w:t>
      </w:r>
      <w:r w:rsidR="004329E7" w:rsidRPr="009227FF">
        <w:rPr>
          <w:sz w:val="24"/>
          <w:szCs w:val="24"/>
        </w:rPr>
        <w:t>, el cual también se ha fortalecido como un canal importante d</w:t>
      </w:r>
      <w:r w:rsidR="00623626" w:rsidRPr="009227FF">
        <w:rPr>
          <w:sz w:val="24"/>
          <w:szCs w:val="24"/>
        </w:rPr>
        <w:t xml:space="preserve">e compra </w:t>
      </w:r>
      <w:r w:rsidR="004329E7" w:rsidRPr="009227FF">
        <w:rPr>
          <w:sz w:val="24"/>
          <w:szCs w:val="24"/>
        </w:rPr>
        <w:t xml:space="preserve"> para</w:t>
      </w:r>
      <w:r w:rsidR="00623626" w:rsidRPr="009227FF">
        <w:rPr>
          <w:sz w:val="24"/>
          <w:szCs w:val="24"/>
        </w:rPr>
        <w:t xml:space="preserve"> los colombianos</w:t>
      </w:r>
      <w:r w:rsidR="002D0211" w:rsidRPr="009227FF">
        <w:rPr>
          <w:sz w:val="24"/>
          <w:szCs w:val="24"/>
        </w:rPr>
        <w:t xml:space="preserve">, en el primer semestre </w:t>
      </w:r>
      <w:r w:rsidRPr="009227FF">
        <w:rPr>
          <w:sz w:val="24"/>
          <w:szCs w:val="24"/>
        </w:rPr>
        <w:t>r</w:t>
      </w:r>
      <w:r w:rsidR="002D0211" w:rsidRPr="009227FF">
        <w:rPr>
          <w:sz w:val="24"/>
          <w:szCs w:val="24"/>
        </w:rPr>
        <w:t>egistr</w:t>
      </w:r>
      <w:r w:rsidR="004329E7" w:rsidRPr="009227FF">
        <w:rPr>
          <w:sz w:val="24"/>
          <w:szCs w:val="24"/>
        </w:rPr>
        <w:t>ó</w:t>
      </w:r>
      <w:r w:rsidRPr="009227FF">
        <w:rPr>
          <w:sz w:val="24"/>
          <w:szCs w:val="24"/>
        </w:rPr>
        <w:t xml:space="preserve"> </w:t>
      </w:r>
      <w:r w:rsidR="003D60BE" w:rsidRPr="009227FF">
        <w:rPr>
          <w:sz w:val="24"/>
          <w:szCs w:val="24"/>
        </w:rPr>
        <w:t>66</w:t>
      </w:r>
      <w:r w:rsidR="00655FAE" w:rsidRPr="009227FF">
        <w:rPr>
          <w:sz w:val="24"/>
          <w:szCs w:val="24"/>
        </w:rPr>
        <w:t xml:space="preserve"> </w:t>
      </w:r>
      <w:r w:rsidRPr="009227FF">
        <w:rPr>
          <w:sz w:val="24"/>
          <w:szCs w:val="24"/>
        </w:rPr>
        <w:t xml:space="preserve">millones de operaciones por un monto de </w:t>
      </w:r>
      <w:r w:rsidR="003D60BE" w:rsidRPr="009227FF">
        <w:rPr>
          <w:sz w:val="24"/>
          <w:szCs w:val="24"/>
        </w:rPr>
        <w:t>$6.7</w:t>
      </w:r>
      <w:r w:rsidRPr="009227FF">
        <w:rPr>
          <w:sz w:val="24"/>
          <w:szCs w:val="24"/>
        </w:rPr>
        <w:t xml:space="preserve"> billones de pesos</w:t>
      </w:r>
      <w:r w:rsidR="002D0211" w:rsidRPr="009227FF">
        <w:rPr>
          <w:sz w:val="24"/>
          <w:szCs w:val="24"/>
        </w:rPr>
        <w:t>, ganando 8 puntos porcentuales comparado con el mismo periodo del 2019 y 3 puntos porcentuales versus el 2020.</w:t>
      </w:r>
    </w:p>
    <w:p w14:paraId="2851FAA5" w14:textId="77777777" w:rsidR="002D3C15" w:rsidRPr="009227FF" w:rsidRDefault="002D3C15" w:rsidP="002D3C15">
      <w:pPr>
        <w:spacing w:line="240" w:lineRule="auto"/>
        <w:jc w:val="both"/>
        <w:rPr>
          <w:sz w:val="24"/>
          <w:szCs w:val="24"/>
        </w:rPr>
      </w:pPr>
    </w:p>
    <w:p w14:paraId="6C0951B3" w14:textId="687EEEC9" w:rsidR="002D3C15" w:rsidRDefault="002D3C15" w:rsidP="000D58B7">
      <w:pPr>
        <w:spacing w:line="240" w:lineRule="auto"/>
        <w:jc w:val="both"/>
        <w:rPr>
          <w:b/>
          <w:sz w:val="24"/>
          <w:szCs w:val="24"/>
        </w:rPr>
      </w:pPr>
      <w:r w:rsidRPr="009227FF">
        <w:rPr>
          <w:i/>
          <w:iCs/>
          <w:sz w:val="24"/>
          <w:szCs w:val="24"/>
        </w:rPr>
        <w:t>“</w:t>
      </w:r>
      <w:r w:rsidR="000A6C55" w:rsidRPr="009227FF">
        <w:rPr>
          <w:i/>
          <w:iCs/>
          <w:sz w:val="24"/>
          <w:szCs w:val="24"/>
        </w:rPr>
        <w:t>V</w:t>
      </w:r>
      <w:r w:rsidR="00A77928" w:rsidRPr="009227FF">
        <w:rPr>
          <w:i/>
          <w:iCs/>
          <w:sz w:val="24"/>
          <w:szCs w:val="24"/>
        </w:rPr>
        <w:t xml:space="preserve">emos con optimismo que el país </w:t>
      </w:r>
      <w:r w:rsidR="00ED350D" w:rsidRPr="009227FF">
        <w:rPr>
          <w:i/>
          <w:iCs/>
          <w:sz w:val="24"/>
          <w:szCs w:val="24"/>
        </w:rPr>
        <w:t>avanza</w:t>
      </w:r>
      <w:r w:rsidR="00A77928" w:rsidRPr="009227FF">
        <w:rPr>
          <w:i/>
          <w:iCs/>
          <w:sz w:val="24"/>
          <w:szCs w:val="24"/>
        </w:rPr>
        <w:t xml:space="preserve"> progresivamente</w:t>
      </w:r>
      <w:r w:rsidR="00ED350D" w:rsidRPr="009227FF">
        <w:rPr>
          <w:i/>
          <w:iCs/>
          <w:sz w:val="24"/>
          <w:szCs w:val="24"/>
        </w:rPr>
        <w:t xml:space="preserve"> hacia la recuperación. Los</w:t>
      </w:r>
      <w:r w:rsidR="00FC2E84" w:rsidRPr="009227FF">
        <w:rPr>
          <w:i/>
          <w:iCs/>
          <w:sz w:val="24"/>
          <w:szCs w:val="24"/>
        </w:rPr>
        <w:t xml:space="preserve"> colombianos optan, cada vez más, por los</w:t>
      </w:r>
      <w:r w:rsidR="00ED350D" w:rsidRPr="009227FF">
        <w:rPr>
          <w:i/>
          <w:iCs/>
          <w:sz w:val="24"/>
          <w:szCs w:val="24"/>
        </w:rPr>
        <w:t xml:space="preserve"> pagos</w:t>
      </w:r>
      <w:r w:rsidR="000124BB" w:rsidRPr="009227FF">
        <w:rPr>
          <w:i/>
          <w:iCs/>
          <w:sz w:val="24"/>
          <w:szCs w:val="24"/>
        </w:rPr>
        <w:t xml:space="preserve"> electrónicos</w:t>
      </w:r>
      <w:r w:rsidR="00FD4DEB" w:rsidRPr="009227FF">
        <w:rPr>
          <w:i/>
          <w:iCs/>
          <w:sz w:val="24"/>
          <w:szCs w:val="24"/>
        </w:rPr>
        <w:t xml:space="preserve"> </w:t>
      </w:r>
      <w:r w:rsidR="009D1BCF" w:rsidRPr="009227FF">
        <w:rPr>
          <w:i/>
          <w:iCs/>
          <w:sz w:val="24"/>
          <w:szCs w:val="24"/>
        </w:rPr>
        <w:t>gracias a</w:t>
      </w:r>
      <w:r w:rsidR="00FD4DEB" w:rsidRPr="009227FF">
        <w:rPr>
          <w:i/>
          <w:iCs/>
          <w:sz w:val="24"/>
          <w:szCs w:val="24"/>
        </w:rPr>
        <w:t xml:space="preserve"> su conveniencia</w:t>
      </w:r>
      <w:r w:rsidR="00574F1E" w:rsidRPr="009227FF">
        <w:rPr>
          <w:i/>
          <w:iCs/>
          <w:sz w:val="24"/>
          <w:szCs w:val="24"/>
        </w:rPr>
        <w:t xml:space="preserve">, </w:t>
      </w:r>
      <w:r w:rsidR="00FD4DEB" w:rsidRPr="009227FF">
        <w:rPr>
          <w:i/>
          <w:iCs/>
          <w:sz w:val="24"/>
          <w:szCs w:val="24"/>
        </w:rPr>
        <w:t>practicidad</w:t>
      </w:r>
      <w:r w:rsidR="00574F1E" w:rsidRPr="009227FF">
        <w:rPr>
          <w:i/>
          <w:iCs/>
          <w:sz w:val="24"/>
          <w:szCs w:val="24"/>
        </w:rPr>
        <w:t xml:space="preserve"> y </w:t>
      </w:r>
      <w:r w:rsidR="00FC2E84" w:rsidRPr="009227FF">
        <w:rPr>
          <w:i/>
          <w:iCs/>
          <w:sz w:val="24"/>
          <w:szCs w:val="24"/>
        </w:rPr>
        <w:t>seguridad</w:t>
      </w:r>
      <w:r w:rsidR="00ED3F40" w:rsidRPr="009227FF">
        <w:rPr>
          <w:i/>
          <w:iCs/>
          <w:sz w:val="24"/>
          <w:szCs w:val="24"/>
        </w:rPr>
        <w:t xml:space="preserve">. En CredibanCo seguimos firmes en nuestro propósito de </w:t>
      </w:r>
      <w:r w:rsidR="00206EB3" w:rsidRPr="009227FF">
        <w:rPr>
          <w:i/>
          <w:iCs/>
          <w:sz w:val="24"/>
          <w:szCs w:val="24"/>
        </w:rPr>
        <w:t xml:space="preserve">apoyar </w:t>
      </w:r>
      <w:r w:rsidR="00ED3F40" w:rsidRPr="009227FF">
        <w:rPr>
          <w:i/>
          <w:iCs/>
          <w:sz w:val="24"/>
          <w:szCs w:val="24"/>
        </w:rPr>
        <w:t>con acciones</w:t>
      </w:r>
      <w:r w:rsidR="004329E7" w:rsidRPr="009227FF">
        <w:rPr>
          <w:i/>
          <w:iCs/>
          <w:sz w:val="24"/>
          <w:szCs w:val="24"/>
        </w:rPr>
        <w:t xml:space="preserve"> oportunas y continuas</w:t>
      </w:r>
      <w:r w:rsidR="00ED3F40" w:rsidRPr="009227FF">
        <w:rPr>
          <w:i/>
          <w:iCs/>
          <w:sz w:val="24"/>
          <w:szCs w:val="24"/>
        </w:rPr>
        <w:t xml:space="preserve"> la reactivación de las empresas y comercios colombianos</w:t>
      </w:r>
      <w:r w:rsidR="000D58B7" w:rsidRPr="009227FF">
        <w:rPr>
          <w:i/>
          <w:iCs/>
          <w:sz w:val="24"/>
          <w:szCs w:val="24"/>
        </w:rPr>
        <w:t>,</w:t>
      </w:r>
      <w:r w:rsidR="00206EB3" w:rsidRPr="009227FF">
        <w:rPr>
          <w:i/>
          <w:iCs/>
          <w:sz w:val="24"/>
          <w:szCs w:val="24"/>
        </w:rPr>
        <w:t xml:space="preserve"> acompañando a los comercios en su proceso de transformación y en la habilitación de nuevas formas de pago para llegar a más clientes, por eso</w:t>
      </w:r>
      <w:r w:rsidR="0050017E" w:rsidRPr="009227FF">
        <w:rPr>
          <w:i/>
          <w:iCs/>
          <w:sz w:val="24"/>
          <w:szCs w:val="24"/>
        </w:rPr>
        <w:t>,</w:t>
      </w:r>
      <w:r w:rsidR="004329E7" w:rsidRPr="009227FF">
        <w:rPr>
          <w:i/>
          <w:iCs/>
          <w:sz w:val="24"/>
          <w:szCs w:val="24"/>
        </w:rPr>
        <w:t xml:space="preserve"> como extensión y renovación de</w:t>
      </w:r>
      <w:r w:rsidR="00ED3F40" w:rsidRPr="009227FF">
        <w:rPr>
          <w:i/>
          <w:iCs/>
          <w:sz w:val="24"/>
          <w:szCs w:val="24"/>
        </w:rPr>
        <w:t xml:space="preserve"> la exitosa iniciativa #YoMeQuedoEnMiNegocio</w:t>
      </w:r>
      <w:r w:rsidR="000D58B7" w:rsidRPr="009227FF">
        <w:rPr>
          <w:i/>
          <w:iCs/>
          <w:sz w:val="24"/>
          <w:szCs w:val="24"/>
        </w:rPr>
        <w:t xml:space="preserve">, </w:t>
      </w:r>
      <w:r w:rsidR="00ED3F40" w:rsidRPr="009227FF">
        <w:rPr>
          <w:i/>
          <w:iCs/>
          <w:sz w:val="24"/>
          <w:szCs w:val="24"/>
        </w:rPr>
        <w:t>lanzamos recientemen</w:t>
      </w:r>
      <w:r w:rsidR="000D58B7" w:rsidRPr="009227FF">
        <w:rPr>
          <w:i/>
          <w:iCs/>
          <w:sz w:val="24"/>
          <w:szCs w:val="24"/>
        </w:rPr>
        <w:t>t</w:t>
      </w:r>
      <w:r w:rsidR="00ED3F40" w:rsidRPr="009227FF">
        <w:rPr>
          <w:i/>
          <w:iCs/>
          <w:sz w:val="24"/>
          <w:szCs w:val="24"/>
        </w:rPr>
        <w:t xml:space="preserve">e </w:t>
      </w:r>
      <w:r w:rsidR="00ED3F40" w:rsidRPr="009227FF">
        <w:rPr>
          <w:b/>
          <w:bCs/>
          <w:i/>
          <w:iCs/>
          <w:sz w:val="24"/>
          <w:szCs w:val="24"/>
        </w:rPr>
        <w:t>Negocios Abiertos</w:t>
      </w:r>
      <w:r w:rsidR="0050017E" w:rsidRPr="009227FF">
        <w:rPr>
          <w:b/>
          <w:bCs/>
          <w:i/>
          <w:iCs/>
          <w:sz w:val="24"/>
          <w:szCs w:val="24"/>
        </w:rPr>
        <w:t xml:space="preserve">. </w:t>
      </w:r>
      <w:r w:rsidR="0050017E" w:rsidRPr="009227FF">
        <w:rPr>
          <w:i/>
          <w:iCs/>
          <w:sz w:val="24"/>
          <w:szCs w:val="24"/>
        </w:rPr>
        <w:t>Se trata de</w:t>
      </w:r>
      <w:r w:rsidR="000D58B7" w:rsidRPr="009227FF">
        <w:rPr>
          <w:i/>
          <w:iCs/>
          <w:sz w:val="24"/>
          <w:szCs w:val="24"/>
        </w:rPr>
        <w:t xml:space="preserve"> </w:t>
      </w:r>
      <w:r w:rsidR="00486F41" w:rsidRPr="009227FF">
        <w:rPr>
          <w:i/>
          <w:iCs/>
          <w:sz w:val="24"/>
          <w:szCs w:val="24"/>
        </w:rPr>
        <w:t xml:space="preserve">un ecosistema de beneficios </w:t>
      </w:r>
      <w:r w:rsidR="000A6C55" w:rsidRPr="009227FF">
        <w:rPr>
          <w:i/>
          <w:iCs/>
          <w:sz w:val="24"/>
          <w:szCs w:val="24"/>
        </w:rPr>
        <w:t>que brinda</w:t>
      </w:r>
      <w:r w:rsidR="00AC5EC8" w:rsidRPr="009227FF">
        <w:rPr>
          <w:i/>
          <w:iCs/>
          <w:sz w:val="24"/>
          <w:szCs w:val="24"/>
        </w:rPr>
        <w:t xml:space="preserve"> </w:t>
      </w:r>
      <w:r w:rsidR="004329E7" w:rsidRPr="009227FF">
        <w:rPr>
          <w:i/>
          <w:iCs/>
          <w:sz w:val="24"/>
          <w:szCs w:val="24"/>
        </w:rPr>
        <w:t>a</w:t>
      </w:r>
      <w:r w:rsidR="00486F41" w:rsidRPr="009227FF">
        <w:rPr>
          <w:i/>
          <w:iCs/>
          <w:sz w:val="24"/>
          <w:szCs w:val="24"/>
        </w:rPr>
        <w:t xml:space="preserve">filiación en línea y asesoría para adquirir medios de pago electrónicos </w:t>
      </w:r>
      <w:r w:rsidR="0050017E" w:rsidRPr="009227FF">
        <w:rPr>
          <w:i/>
          <w:iCs/>
          <w:sz w:val="24"/>
          <w:szCs w:val="24"/>
        </w:rPr>
        <w:t xml:space="preserve">con </w:t>
      </w:r>
      <w:r w:rsidR="00486F41" w:rsidRPr="009227FF">
        <w:rPr>
          <w:i/>
          <w:iCs/>
          <w:sz w:val="24"/>
          <w:szCs w:val="24"/>
        </w:rPr>
        <w:t>tarifas especiales</w:t>
      </w:r>
      <w:r w:rsidR="002474A6" w:rsidRPr="009227FF">
        <w:rPr>
          <w:i/>
          <w:iCs/>
          <w:sz w:val="24"/>
          <w:szCs w:val="24"/>
        </w:rPr>
        <w:t xml:space="preserve">, </w:t>
      </w:r>
      <w:r w:rsidR="0050017E" w:rsidRPr="009227FF">
        <w:rPr>
          <w:i/>
          <w:iCs/>
          <w:sz w:val="24"/>
          <w:szCs w:val="24"/>
        </w:rPr>
        <w:t xml:space="preserve">que también </w:t>
      </w:r>
      <w:r w:rsidR="002474A6" w:rsidRPr="009227FF">
        <w:rPr>
          <w:i/>
          <w:iCs/>
          <w:sz w:val="24"/>
          <w:szCs w:val="24"/>
        </w:rPr>
        <w:t>proporciona data de la industria y del comportamiento de los comercios con pagos electrónicos</w:t>
      </w:r>
      <w:r w:rsidR="00486F41" w:rsidRPr="009227FF">
        <w:rPr>
          <w:i/>
          <w:iCs/>
          <w:sz w:val="24"/>
          <w:szCs w:val="24"/>
        </w:rPr>
        <w:t xml:space="preserve"> y</w:t>
      </w:r>
      <w:r w:rsidR="0050017E" w:rsidRPr="009227FF">
        <w:rPr>
          <w:i/>
          <w:iCs/>
          <w:sz w:val="24"/>
          <w:szCs w:val="24"/>
        </w:rPr>
        <w:t xml:space="preserve"> brinda</w:t>
      </w:r>
      <w:r w:rsidR="00486F41" w:rsidRPr="009227FF">
        <w:rPr>
          <w:i/>
          <w:iCs/>
          <w:sz w:val="24"/>
          <w:szCs w:val="24"/>
        </w:rPr>
        <w:t xml:space="preserve"> herramientas</w:t>
      </w:r>
      <w:r w:rsidR="002474A6" w:rsidRPr="009227FF">
        <w:rPr>
          <w:i/>
          <w:iCs/>
          <w:sz w:val="24"/>
          <w:szCs w:val="24"/>
        </w:rPr>
        <w:t xml:space="preserve"> como formación, innovación, eventos, entre otros, todo</w:t>
      </w:r>
      <w:r w:rsidR="00486F41" w:rsidRPr="009227FF">
        <w:rPr>
          <w:i/>
          <w:iCs/>
          <w:sz w:val="24"/>
          <w:szCs w:val="24"/>
        </w:rPr>
        <w:t xml:space="preserve"> </w:t>
      </w:r>
      <w:r w:rsidR="0050017E" w:rsidRPr="009227FF">
        <w:rPr>
          <w:i/>
          <w:iCs/>
          <w:sz w:val="24"/>
          <w:szCs w:val="24"/>
        </w:rPr>
        <w:t xml:space="preserve"> disponible en</w:t>
      </w:r>
      <w:r w:rsidR="00486F41" w:rsidRPr="009227FF">
        <w:rPr>
          <w:i/>
          <w:iCs/>
          <w:sz w:val="24"/>
          <w:szCs w:val="24"/>
        </w:rPr>
        <w:t xml:space="preserve"> </w:t>
      </w:r>
      <w:hyperlink r:id="rId12" w:history="1">
        <w:r w:rsidR="002474A6" w:rsidRPr="009227FF">
          <w:rPr>
            <w:rStyle w:val="Hipervnculo"/>
            <w:i/>
            <w:iCs/>
            <w:sz w:val="24"/>
            <w:szCs w:val="24"/>
          </w:rPr>
          <w:t>www.negociosabiertos.co</w:t>
        </w:r>
      </w:hyperlink>
      <w:r w:rsidR="00486F41" w:rsidRPr="009227FF">
        <w:rPr>
          <w:i/>
          <w:iCs/>
          <w:sz w:val="24"/>
          <w:szCs w:val="24"/>
        </w:rPr>
        <w:t>”</w:t>
      </w:r>
      <w:r w:rsidR="0050017E" w:rsidRPr="009227FF">
        <w:rPr>
          <w:i/>
          <w:iCs/>
          <w:sz w:val="24"/>
          <w:szCs w:val="24"/>
        </w:rPr>
        <w:t>,</w:t>
      </w:r>
      <w:r w:rsidR="002474A6" w:rsidRPr="009227FF">
        <w:rPr>
          <w:i/>
          <w:iCs/>
          <w:sz w:val="24"/>
          <w:szCs w:val="24"/>
        </w:rPr>
        <w:t xml:space="preserve"> </w:t>
      </w:r>
      <w:r w:rsidRPr="009227FF">
        <w:rPr>
          <w:i/>
          <w:iCs/>
          <w:sz w:val="24"/>
          <w:szCs w:val="24"/>
        </w:rPr>
        <w:t>aseguró</w:t>
      </w:r>
      <w:r w:rsidRPr="009227FF">
        <w:rPr>
          <w:sz w:val="24"/>
          <w:szCs w:val="24"/>
        </w:rPr>
        <w:t xml:space="preserve"> </w:t>
      </w:r>
      <w:r w:rsidR="00623626" w:rsidRPr="009227FF">
        <w:rPr>
          <w:b/>
          <w:sz w:val="24"/>
          <w:szCs w:val="24"/>
        </w:rPr>
        <w:t>Gustavo Leaño Concha, Presidente</w:t>
      </w:r>
      <w:r w:rsidR="00C043F8" w:rsidRPr="009227FF">
        <w:rPr>
          <w:b/>
          <w:sz w:val="24"/>
          <w:szCs w:val="24"/>
        </w:rPr>
        <w:t xml:space="preserve"> de CredibanCo.</w:t>
      </w:r>
      <w:r w:rsidR="00C043F8" w:rsidRPr="000D58B7">
        <w:rPr>
          <w:b/>
          <w:sz w:val="24"/>
          <w:szCs w:val="24"/>
        </w:rPr>
        <w:t xml:space="preserve"> </w:t>
      </w:r>
    </w:p>
    <w:p w14:paraId="2D0A1288" w14:textId="623C6784" w:rsidR="00AD2C1D" w:rsidRPr="00C3610C" w:rsidRDefault="00CD11EB">
      <w:pPr>
        <w:spacing w:line="240" w:lineRule="auto"/>
        <w:jc w:val="both"/>
        <w:rPr>
          <w:i/>
          <w:sz w:val="24"/>
          <w:szCs w:val="24"/>
        </w:rPr>
      </w:pPr>
      <w:bookmarkStart w:id="0" w:name="_heading=h.gjdgxs" w:colFirst="0" w:colLast="0"/>
      <w:bookmarkEnd w:id="0"/>
      <w:r>
        <w:rPr>
          <w:i/>
          <w:sz w:val="24"/>
          <w:szCs w:val="24"/>
        </w:rPr>
        <w:t> </w:t>
      </w:r>
    </w:p>
    <w:p w14:paraId="7675B3A2" w14:textId="77777777" w:rsidR="00AD2C1D" w:rsidRPr="00CE0AC3" w:rsidRDefault="00CD11EB">
      <w:pPr>
        <w:spacing w:line="240" w:lineRule="auto"/>
        <w:jc w:val="center"/>
        <w:rPr>
          <w:b/>
          <w:sz w:val="36"/>
          <w:szCs w:val="36"/>
        </w:rPr>
      </w:pPr>
      <w:r w:rsidRPr="00CE0AC3">
        <w:rPr>
          <w:b/>
          <w:sz w:val="36"/>
          <w:szCs w:val="36"/>
        </w:rPr>
        <w:t>***</w:t>
      </w:r>
    </w:p>
    <w:p w14:paraId="323A8206" w14:textId="77777777" w:rsidR="002460A9" w:rsidRPr="002460A9" w:rsidRDefault="002460A9" w:rsidP="002460A9">
      <w:pPr>
        <w:spacing w:line="240" w:lineRule="auto"/>
        <w:jc w:val="both"/>
        <w:rPr>
          <w:b/>
          <w:bCs/>
          <w:sz w:val="20"/>
          <w:szCs w:val="20"/>
        </w:rPr>
      </w:pPr>
      <w:r w:rsidRPr="002460A9">
        <w:rPr>
          <w:b/>
          <w:bCs/>
          <w:sz w:val="20"/>
          <w:szCs w:val="20"/>
        </w:rPr>
        <w:t>Acerca de CredibanCo</w:t>
      </w:r>
    </w:p>
    <w:p w14:paraId="099AFE85" w14:textId="77777777" w:rsidR="002460A9" w:rsidRPr="002460A9" w:rsidRDefault="002460A9" w:rsidP="002460A9">
      <w:pPr>
        <w:spacing w:line="240" w:lineRule="auto"/>
        <w:jc w:val="both"/>
        <w:rPr>
          <w:sz w:val="20"/>
          <w:szCs w:val="20"/>
        </w:rPr>
      </w:pPr>
    </w:p>
    <w:p w14:paraId="1A22DBBB" w14:textId="77777777" w:rsidR="002460A9" w:rsidRPr="002460A9" w:rsidRDefault="002460A9" w:rsidP="002460A9">
      <w:pPr>
        <w:spacing w:line="240" w:lineRule="auto"/>
        <w:jc w:val="both"/>
        <w:rPr>
          <w:sz w:val="20"/>
          <w:szCs w:val="20"/>
        </w:rPr>
      </w:pPr>
      <w:r w:rsidRPr="002460A9">
        <w:rPr>
          <w:sz w:val="20"/>
          <w:szCs w:val="20"/>
        </w:rPr>
        <w:t xml:space="preserve">CredibanCo es una empresa colombiana vigilada por la Superintendencia Financiera con más de 50 años de experiencia en la administración y desarrollo de sistemas de pago de bajo valor. Promueve los pagos electrónicos en el país a través de una estructuración de negocio que sustituye el uso del dinero en efectivo, favoreciendo la formalización, inclusión financiera y el incremento de las ventas a través de medios de pago ágiles, innovadores y seguros. </w:t>
      </w:r>
    </w:p>
    <w:p w14:paraId="46545D3D" w14:textId="77777777" w:rsidR="002460A9" w:rsidRPr="002460A9" w:rsidRDefault="002460A9" w:rsidP="002460A9">
      <w:pPr>
        <w:spacing w:line="240" w:lineRule="auto"/>
        <w:jc w:val="both"/>
        <w:rPr>
          <w:sz w:val="20"/>
          <w:szCs w:val="20"/>
        </w:rPr>
      </w:pPr>
    </w:p>
    <w:p w14:paraId="22827943" w14:textId="2D89D1DD" w:rsidR="00AD2C1D" w:rsidRPr="002460A9" w:rsidRDefault="00CD11E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CredibanCo ha logrado acercar a los colombianos al mundo de los negocios y transacciones online, consolidándose como la red de pagos más segura del país, obteniendo en el año 2006 la certificación PCI DSS y en el 2018 la rectificación actualizada PCI DSS 3.2.1 y PCI Security PIN Versión 2.0 con vigencia a 2021, esta distinción es otorgada a las organizaciones que cumplen con los rigurosos estándares de seguridad encaminados a proteger los datos y evitar los fraudes</w:t>
      </w:r>
    </w:p>
    <w:p w14:paraId="0272C241" w14:textId="77777777" w:rsidR="00AD2C1D" w:rsidRPr="00A601F3" w:rsidRDefault="00AD2C1D">
      <w:pPr>
        <w:spacing w:line="240" w:lineRule="auto"/>
        <w:jc w:val="both"/>
        <w:rPr>
          <w:sz w:val="32"/>
          <w:szCs w:val="32"/>
        </w:rPr>
      </w:pPr>
    </w:p>
    <w:p w14:paraId="2B7F7574" w14:textId="76E9E30C" w:rsidR="00AD2C1D" w:rsidRPr="00A601F3" w:rsidRDefault="00CD11EB" w:rsidP="002460A9">
      <w:pPr>
        <w:spacing w:line="240" w:lineRule="auto"/>
        <w:jc w:val="both"/>
        <w:rPr>
          <w:b/>
          <w:sz w:val="20"/>
          <w:szCs w:val="20"/>
          <w:lang w:val="pt-BR"/>
        </w:rPr>
      </w:pPr>
      <w:bookmarkStart w:id="1" w:name="_heading=h.1fob9te" w:colFirst="0" w:colLast="0"/>
      <w:bookmarkEnd w:id="1"/>
      <w:r w:rsidRPr="00A601F3">
        <w:rPr>
          <w:b/>
          <w:sz w:val="20"/>
          <w:szCs w:val="20"/>
          <w:lang w:val="pt-BR"/>
        </w:rPr>
        <w:t>Contacto de prensa:</w:t>
      </w:r>
      <w:bookmarkStart w:id="2" w:name="_heading=h.3znysh7" w:colFirst="0" w:colLast="0"/>
      <w:bookmarkEnd w:id="2"/>
    </w:p>
    <w:p w14:paraId="497CD005" w14:textId="77777777" w:rsidR="00AD2C1D" w:rsidRPr="00A601F3" w:rsidRDefault="00AD2C1D">
      <w:pPr>
        <w:spacing w:line="240" w:lineRule="auto"/>
        <w:jc w:val="both"/>
        <w:rPr>
          <w:sz w:val="20"/>
          <w:szCs w:val="20"/>
          <w:lang w:val="pt-BR"/>
        </w:rPr>
      </w:pPr>
    </w:p>
    <w:p w14:paraId="33E682AD" w14:textId="77777777" w:rsidR="009C1017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  <w:lang w:val="pt-BR"/>
        </w:rPr>
      </w:pPr>
      <w:r w:rsidRPr="00A601F3">
        <w:rPr>
          <w:rFonts w:eastAsia="Calibri"/>
          <w:sz w:val="20"/>
          <w:szCs w:val="20"/>
          <w:lang w:val="pt-BR"/>
        </w:rPr>
        <w:t>Sara Rodríguez</w:t>
      </w:r>
    </w:p>
    <w:p w14:paraId="2D2FFD3E" w14:textId="4F261833" w:rsidR="009C1017" w:rsidRPr="00A601F3" w:rsidRDefault="000143DB" w:rsidP="009C1017">
      <w:pPr>
        <w:spacing w:line="240" w:lineRule="auto"/>
        <w:jc w:val="both"/>
        <w:rPr>
          <w:rFonts w:eastAsia="Calibri"/>
          <w:sz w:val="20"/>
          <w:szCs w:val="20"/>
          <w:lang w:val="pt-BR"/>
        </w:rPr>
      </w:pPr>
      <w:hyperlink r:id="rId13" w:history="1">
        <w:r w:rsidR="009C1017" w:rsidRPr="00A601F3">
          <w:rPr>
            <w:rStyle w:val="Hipervnculo"/>
            <w:rFonts w:eastAsia="Calibri"/>
            <w:sz w:val="20"/>
            <w:szCs w:val="20"/>
            <w:lang w:val="pt-BR"/>
          </w:rPr>
          <w:t>Sara.rodriguez@bcw-global.com</w:t>
        </w:r>
      </w:hyperlink>
      <w:r w:rsidR="009C1017" w:rsidRPr="00A601F3">
        <w:rPr>
          <w:rFonts w:eastAsia="Calibri"/>
          <w:sz w:val="20"/>
          <w:szCs w:val="20"/>
          <w:lang w:val="pt-BR"/>
        </w:rPr>
        <w:t xml:space="preserve">  </w:t>
      </w:r>
    </w:p>
    <w:p w14:paraId="2512F78F" w14:textId="77777777" w:rsidR="009C1017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  <w:lang w:val="en-US"/>
        </w:rPr>
      </w:pPr>
      <w:r w:rsidRPr="00A601F3">
        <w:rPr>
          <w:rFonts w:eastAsia="Calibri"/>
          <w:sz w:val="20"/>
          <w:szCs w:val="20"/>
          <w:lang w:val="en-US"/>
        </w:rPr>
        <w:t xml:space="preserve">BCW | Burson Cohn &amp; Wolfe </w:t>
      </w:r>
    </w:p>
    <w:p w14:paraId="63B00017" w14:textId="77777777" w:rsidR="009C1017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  <w:lang w:val="en-US"/>
        </w:rPr>
      </w:pPr>
      <w:proofErr w:type="spellStart"/>
      <w:r w:rsidRPr="00A601F3">
        <w:rPr>
          <w:rFonts w:eastAsia="Calibri"/>
          <w:sz w:val="20"/>
          <w:szCs w:val="20"/>
          <w:lang w:val="en-US"/>
        </w:rPr>
        <w:t>Cel</w:t>
      </w:r>
      <w:proofErr w:type="spellEnd"/>
      <w:r w:rsidRPr="00A601F3">
        <w:rPr>
          <w:rFonts w:eastAsia="Calibri"/>
          <w:sz w:val="20"/>
          <w:szCs w:val="20"/>
          <w:lang w:val="en-US"/>
        </w:rPr>
        <w:t>.: 317 285 44 83</w:t>
      </w:r>
    </w:p>
    <w:p w14:paraId="720055B5" w14:textId="77777777" w:rsidR="009C1017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  <w:lang w:val="en-US"/>
        </w:rPr>
      </w:pPr>
    </w:p>
    <w:p w14:paraId="11E4FB6A" w14:textId="77777777" w:rsidR="009C1017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</w:rPr>
      </w:pPr>
      <w:r w:rsidRPr="00A601F3">
        <w:rPr>
          <w:rFonts w:eastAsia="Calibri"/>
          <w:sz w:val="20"/>
          <w:szCs w:val="20"/>
        </w:rPr>
        <w:t>Alejandra Hernández</w:t>
      </w:r>
    </w:p>
    <w:p w14:paraId="188DD253" w14:textId="5A24B2F7" w:rsidR="009C1017" w:rsidRPr="00A601F3" w:rsidRDefault="004F5D8A" w:rsidP="009C1017">
      <w:pPr>
        <w:spacing w:line="240" w:lineRule="auto"/>
        <w:jc w:val="both"/>
        <w:rPr>
          <w:rFonts w:eastAsia="Calibri"/>
          <w:sz w:val="20"/>
          <w:szCs w:val="20"/>
        </w:rPr>
      </w:pPr>
      <w:hyperlink r:id="rId14" w:history="1">
        <w:r w:rsidR="009C1017" w:rsidRPr="00A601F3">
          <w:rPr>
            <w:rStyle w:val="Hipervnculo"/>
            <w:rFonts w:eastAsia="Calibri"/>
            <w:sz w:val="20"/>
            <w:szCs w:val="20"/>
          </w:rPr>
          <w:t>Alejandra.hernandez@bcw-global.com</w:t>
        </w:r>
      </w:hyperlink>
      <w:r w:rsidR="009C1017" w:rsidRPr="00A601F3">
        <w:rPr>
          <w:rFonts w:eastAsia="Calibri"/>
          <w:sz w:val="20"/>
          <w:szCs w:val="20"/>
        </w:rPr>
        <w:t xml:space="preserve">  </w:t>
      </w:r>
    </w:p>
    <w:p w14:paraId="13CA7234" w14:textId="77777777" w:rsidR="009C1017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  <w:lang w:val="en-US"/>
        </w:rPr>
      </w:pPr>
      <w:r w:rsidRPr="00A601F3">
        <w:rPr>
          <w:rFonts w:eastAsia="Calibri"/>
          <w:sz w:val="20"/>
          <w:szCs w:val="20"/>
          <w:lang w:val="en-US"/>
        </w:rPr>
        <w:t xml:space="preserve">BCW | Burson Cohn &amp; Wolfe </w:t>
      </w:r>
    </w:p>
    <w:p w14:paraId="48DB09AC" w14:textId="588BE345" w:rsidR="00AD2C1D" w:rsidRPr="00A601F3" w:rsidRDefault="009C1017" w:rsidP="009C1017">
      <w:pPr>
        <w:spacing w:line="240" w:lineRule="auto"/>
        <w:jc w:val="both"/>
        <w:rPr>
          <w:rFonts w:eastAsia="Calibri"/>
          <w:sz w:val="20"/>
          <w:szCs w:val="20"/>
          <w:lang w:val="en-US"/>
        </w:rPr>
      </w:pPr>
      <w:proofErr w:type="spellStart"/>
      <w:r w:rsidRPr="00A601F3">
        <w:rPr>
          <w:rFonts w:eastAsia="Calibri"/>
          <w:sz w:val="20"/>
          <w:szCs w:val="20"/>
          <w:lang w:val="en-US"/>
        </w:rPr>
        <w:t>Cel</w:t>
      </w:r>
      <w:proofErr w:type="spellEnd"/>
      <w:r w:rsidRPr="00A601F3">
        <w:rPr>
          <w:rFonts w:eastAsia="Calibri"/>
          <w:sz w:val="20"/>
          <w:szCs w:val="20"/>
          <w:lang w:val="en-US"/>
        </w:rPr>
        <w:t>.: 301 502 0940</w:t>
      </w:r>
    </w:p>
    <w:p w14:paraId="160EE627" w14:textId="77777777" w:rsidR="00AD2C1D" w:rsidRPr="009C1017" w:rsidRDefault="00AD2C1D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54A01167" w14:textId="77777777" w:rsidR="00AD2C1D" w:rsidRPr="009C1017" w:rsidRDefault="00AD2C1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sectPr w:rsidR="00AD2C1D" w:rsidRPr="009C10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6F6A" w14:textId="77777777" w:rsidR="004F5D8A" w:rsidRDefault="004F5D8A">
      <w:pPr>
        <w:spacing w:line="240" w:lineRule="auto"/>
      </w:pPr>
      <w:r>
        <w:separator/>
      </w:r>
    </w:p>
  </w:endnote>
  <w:endnote w:type="continuationSeparator" w:id="0">
    <w:p w14:paraId="5D72B824" w14:textId="77777777" w:rsidR="004F5D8A" w:rsidRDefault="004F5D8A">
      <w:pPr>
        <w:spacing w:line="240" w:lineRule="auto"/>
      </w:pPr>
      <w:r>
        <w:continuationSeparator/>
      </w:r>
    </w:p>
  </w:endnote>
  <w:endnote w:type="continuationNotice" w:id="1">
    <w:p w14:paraId="0187092C" w14:textId="77777777" w:rsidR="004F5D8A" w:rsidRDefault="004F5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8A7" w14:textId="77777777" w:rsidR="00AD2C1D" w:rsidRDefault="00AD2C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5BE3" w14:textId="77777777" w:rsidR="00AD2C1D" w:rsidRDefault="00AD2C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907C" w14:textId="77777777" w:rsidR="00AD2C1D" w:rsidRDefault="00AD2C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82DA" w14:textId="77777777" w:rsidR="004F5D8A" w:rsidRDefault="004F5D8A">
      <w:pPr>
        <w:spacing w:line="240" w:lineRule="auto"/>
      </w:pPr>
      <w:r>
        <w:separator/>
      </w:r>
    </w:p>
  </w:footnote>
  <w:footnote w:type="continuationSeparator" w:id="0">
    <w:p w14:paraId="1FFCB65A" w14:textId="77777777" w:rsidR="004F5D8A" w:rsidRDefault="004F5D8A">
      <w:pPr>
        <w:spacing w:line="240" w:lineRule="auto"/>
      </w:pPr>
      <w:r>
        <w:continuationSeparator/>
      </w:r>
    </w:p>
  </w:footnote>
  <w:footnote w:type="continuationNotice" w:id="1">
    <w:p w14:paraId="5054A198" w14:textId="77777777" w:rsidR="004F5D8A" w:rsidRDefault="004F5D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3783" w14:textId="77777777" w:rsidR="00AD2C1D" w:rsidRDefault="00AD2C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64B6" w14:textId="77777777" w:rsidR="00AD2C1D" w:rsidRDefault="00CD11EB">
    <w:r>
      <w:rPr>
        <w:noProof/>
      </w:rPr>
      <w:drawing>
        <wp:anchor distT="0" distB="0" distL="0" distR="0" simplePos="0" relativeHeight="251658240" behindDoc="0" locked="0" layoutInCell="1" hidden="0" allowOverlap="1" wp14:anchorId="7DE9854C" wp14:editId="02ABC2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680" cy="339090"/>
          <wp:effectExtent l="0" t="0" r="0" b="0"/>
          <wp:wrapSquare wrapText="bothSides" distT="0" distB="0" distL="0" distR="0"/>
          <wp:docPr id="21" name="image1.png" descr="C:\Users\SuarezL3\AppData\Local\Microsoft\Windows\INetCache\Content.Word\bcw_primary_wo_name_gree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uarezL3\AppData\Local\Microsoft\Windows\INetCache\Content.Word\bcw_primary_wo_name_gree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123E4A8D" wp14:editId="7ABEC0D0">
          <wp:simplePos x="0" y="0"/>
          <wp:positionH relativeFrom="column">
            <wp:posOffset>4972050</wp:posOffset>
          </wp:positionH>
          <wp:positionV relativeFrom="paragraph">
            <wp:posOffset>-9515</wp:posOffset>
          </wp:positionV>
          <wp:extent cx="1022350" cy="361950"/>
          <wp:effectExtent l="0" t="0" r="0" b="0"/>
          <wp:wrapSquare wrapText="bothSides" distT="114300" distB="114300" distL="114300" distR="11430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31793" b="32820"/>
                  <a:stretch>
                    <a:fillRect/>
                  </a:stretch>
                </pic:blipFill>
                <pic:spPr>
                  <a:xfrm>
                    <a:off x="0" y="0"/>
                    <a:ext cx="10223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6B30" w14:textId="77777777" w:rsidR="00AD2C1D" w:rsidRDefault="00AD2C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1BA7"/>
    <w:multiLevelType w:val="hybridMultilevel"/>
    <w:tmpl w:val="1A6A9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4E6"/>
    <w:multiLevelType w:val="multilevel"/>
    <w:tmpl w:val="422E6DF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7E414D7E"/>
    <w:multiLevelType w:val="multilevel"/>
    <w:tmpl w:val="569E7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1D"/>
    <w:rsid w:val="000077D3"/>
    <w:rsid w:val="000124BB"/>
    <w:rsid w:val="00013BA7"/>
    <w:rsid w:val="000143DB"/>
    <w:rsid w:val="00016A14"/>
    <w:rsid w:val="00017552"/>
    <w:rsid w:val="0002384F"/>
    <w:rsid w:val="00052FA1"/>
    <w:rsid w:val="00057FA4"/>
    <w:rsid w:val="00060BE3"/>
    <w:rsid w:val="00076178"/>
    <w:rsid w:val="00086BAC"/>
    <w:rsid w:val="0009316A"/>
    <w:rsid w:val="00097204"/>
    <w:rsid w:val="000A6C55"/>
    <w:rsid w:val="000B4F4B"/>
    <w:rsid w:val="000D1801"/>
    <w:rsid w:val="000D3920"/>
    <w:rsid w:val="000D58B7"/>
    <w:rsid w:val="000E5925"/>
    <w:rsid w:val="000F3EB8"/>
    <w:rsid w:val="000F5D4B"/>
    <w:rsid w:val="00102A3E"/>
    <w:rsid w:val="00111258"/>
    <w:rsid w:val="00111BF0"/>
    <w:rsid w:val="001126FD"/>
    <w:rsid w:val="00113521"/>
    <w:rsid w:val="0011781B"/>
    <w:rsid w:val="00117F32"/>
    <w:rsid w:val="00124B3E"/>
    <w:rsid w:val="0013216C"/>
    <w:rsid w:val="00146F42"/>
    <w:rsid w:val="00160703"/>
    <w:rsid w:val="00167834"/>
    <w:rsid w:val="00180C04"/>
    <w:rsid w:val="0018216D"/>
    <w:rsid w:val="001B0884"/>
    <w:rsid w:val="001B380B"/>
    <w:rsid w:val="001B7550"/>
    <w:rsid w:val="001D57A4"/>
    <w:rsid w:val="001F290E"/>
    <w:rsid w:val="00204B6F"/>
    <w:rsid w:val="00206EB3"/>
    <w:rsid w:val="00214C72"/>
    <w:rsid w:val="002356DD"/>
    <w:rsid w:val="002401C2"/>
    <w:rsid w:val="002460A9"/>
    <w:rsid w:val="002474A6"/>
    <w:rsid w:val="00274043"/>
    <w:rsid w:val="00277743"/>
    <w:rsid w:val="002C5EE9"/>
    <w:rsid w:val="002C78AB"/>
    <w:rsid w:val="002D0211"/>
    <w:rsid w:val="002D3C15"/>
    <w:rsid w:val="002F5FB7"/>
    <w:rsid w:val="00315B5D"/>
    <w:rsid w:val="00316FFB"/>
    <w:rsid w:val="003307D9"/>
    <w:rsid w:val="00347F59"/>
    <w:rsid w:val="00394C80"/>
    <w:rsid w:val="003A0588"/>
    <w:rsid w:val="003C62BF"/>
    <w:rsid w:val="003D33ED"/>
    <w:rsid w:val="003D60BE"/>
    <w:rsid w:val="004008FB"/>
    <w:rsid w:val="00432858"/>
    <w:rsid w:val="004329E7"/>
    <w:rsid w:val="0043672E"/>
    <w:rsid w:val="00445320"/>
    <w:rsid w:val="00450138"/>
    <w:rsid w:val="004546BC"/>
    <w:rsid w:val="004652D2"/>
    <w:rsid w:val="00481C7A"/>
    <w:rsid w:val="00486F41"/>
    <w:rsid w:val="004A0181"/>
    <w:rsid w:val="004B6842"/>
    <w:rsid w:val="004C4207"/>
    <w:rsid w:val="004D0A36"/>
    <w:rsid w:val="004D6804"/>
    <w:rsid w:val="004E3CC8"/>
    <w:rsid w:val="004F5D8A"/>
    <w:rsid w:val="0050017E"/>
    <w:rsid w:val="00501B71"/>
    <w:rsid w:val="0052174D"/>
    <w:rsid w:val="00522E21"/>
    <w:rsid w:val="00523B35"/>
    <w:rsid w:val="0052535D"/>
    <w:rsid w:val="005355FE"/>
    <w:rsid w:val="00546137"/>
    <w:rsid w:val="005524E0"/>
    <w:rsid w:val="00562039"/>
    <w:rsid w:val="005651AC"/>
    <w:rsid w:val="0056541E"/>
    <w:rsid w:val="00574BDF"/>
    <w:rsid w:val="00574F1E"/>
    <w:rsid w:val="00576AEE"/>
    <w:rsid w:val="00584202"/>
    <w:rsid w:val="00592634"/>
    <w:rsid w:val="0059540D"/>
    <w:rsid w:val="00597F7F"/>
    <w:rsid w:val="005B58A3"/>
    <w:rsid w:val="005C08A8"/>
    <w:rsid w:val="005D2527"/>
    <w:rsid w:val="005E1A15"/>
    <w:rsid w:val="005E1F03"/>
    <w:rsid w:val="005E39CD"/>
    <w:rsid w:val="005E50A2"/>
    <w:rsid w:val="0060407D"/>
    <w:rsid w:val="006213C3"/>
    <w:rsid w:val="00623626"/>
    <w:rsid w:val="00623907"/>
    <w:rsid w:val="00630809"/>
    <w:rsid w:val="00645151"/>
    <w:rsid w:val="006457AA"/>
    <w:rsid w:val="00646C30"/>
    <w:rsid w:val="00652FB5"/>
    <w:rsid w:val="00655FAE"/>
    <w:rsid w:val="0065766E"/>
    <w:rsid w:val="006634BF"/>
    <w:rsid w:val="00685993"/>
    <w:rsid w:val="00690F06"/>
    <w:rsid w:val="006A16E5"/>
    <w:rsid w:val="006A17DC"/>
    <w:rsid w:val="006B382E"/>
    <w:rsid w:val="006D091E"/>
    <w:rsid w:val="006E18FC"/>
    <w:rsid w:val="006F081B"/>
    <w:rsid w:val="00712D6B"/>
    <w:rsid w:val="00716CC4"/>
    <w:rsid w:val="00755255"/>
    <w:rsid w:val="007569CA"/>
    <w:rsid w:val="0077570A"/>
    <w:rsid w:val="00781FAA"/>
    <w:rsid w:val="00783671"/>
    <w:rsid w:val="00787058"/>
    <w:rsid w:val="007924D2"/>
    <w:rsid w:val="007A14AB"/>
    <w:rsid w:val="007C610A"/>
    <w:rsid w:val="007C66FA"/>
    <w:rsid w:val="007E0F11"/>
    <w:rsid w:val="007F0765"/>
    <w:rsid w:val="00800F87"/>
    <w:rsid w:val="00804B19"/>
    <w:rsid w:val="008136AC"/>
    <w:rsid w:val="00852419"/>
    <w:rsid w:val="008539AE"/>
    <w:rsid w:val="00855EED"/>
    <w:rsid w:val="00871FCF"/>
    <w:rsid w:val="0087796C"/>
    <w:rsid w:val="00884BDA"/>
    <w:rsid w:val="008A1103"/>
    <w:rsid w:val="008A7702"/>
    <w:rsid w:val="008B63CC"/>
    <w:rsid w:val="008C22D4"/>
    <w:rsid w:val="008C3709"/>
    <w:rsid w:val="008D229A"/>
    <w:rsid w:val="008D5469"/>
    <w:rsid w:val="008E03E0"/>
    <w:rsid w:val="008E6BCB"/>
    <w:rsid w:val="009005A9"/>
    <w:rsid w:val="009141B4"/>
    <w:rsid w:val="0091552C"/>
    <w:rsid w:val="009227FF"/>
    <w:rsid w:val="00923D89"/>
    <w:rsid w:val="00925F8F"/>
    <w:rsid w:val="009319E9"/>
    <w:rsid w:val="00947498"/>
    <w:rsid w:val="0095560D"/>
    <w:rsid w:val="009617FB"/>
    <w:rsid w:val="00965543"/>
    <w:rsid w:val="00983B97"/>
    <w:rsid w:val="00983DD2"/>
    <w:rsid w:val="009919D0"/>
    <w:rsid w:val="009A6CD3"/>
    <w:rsid w:val="009A7E99"/>
    <w:rsid w:val="009C1017"/>
    <w:rsid w:val="009C165F"/>
    <w:rsid w:val="009C6964"/>
    <w:rsid w:val="009C71DB"/>
    <w:rsid w:val="009D1BCF"/>
    <w:rsid w:val="009D52DB"/>
    <w:rsid w:val="009F5498"/>
    <w:rsid w:val="00A066BE"/>
    <w:rsid w:val="00A06DFB"/>
    <w:rsid w:val="00A14B28"/>
    <w:rsid w:val="00A56970"/>
    <w:rsid w:val="00A601F3"/>
    <w:rsid w:val="00A60531"/>
    <w:rsid w:val="00A679DC"/>
    <w:rsid w:val="00A7497F"/>
    <w:rsid w:val="00A77928"/>
    <w:rsid w:val="00AB0E0A"/>
    <w:rsid w:val="00AC5EC8"/>
    <w:rsid w:val="00AC7951"/>
    <w:rsid w:val="00AD2C1D"/>
    <w:rsid w:val="00AD740A"/>
    <w:rsid w:val="00AF5675"/>
    <w:rsid w:val="00B1699D"/>
    <w:rsid w:val="00B22B09"/>
    <w:rsid w:val="00B418CC"/>
    <w:rsid w:val="00B47012"/>
    <w:rsid w:val="00B73457"/>
    <w:rsid w:val="00B805C1"/>
    <w:rsid w:val="00B84293"/>
    <w:rsid w:val="00B9514A"/>
    <w:rsid w:val="00B954FB"/>
    <w:rsid w:val="00BA700E"/>
    <w:rsid w:val="00BC35C9"/>
    <w:rsid w:val="00BD48CC"/>
    <w:rsid w:val="00BE0112"/>
    <w:rsid w:val="00BE41B3"/>
    <w:rsid w:val="00BF26C7"/>
    <w:rsid w:val="00BF2847"/>
    <w:rsid w:val="00BF569D"/>
    <w:rsid w:val="00C043F8"/>
    <w:rsid w:val="00C06EE3"/>
    <w:rsid w:val="00C0716D"/>
    <w:rsid w:val="00C21EBA"/>
    <w:rsid w:val="00C22829"/>
    <w:rsid w:val="00C23F78"/>
    <w:rsid w:val="00C33D41"/>
    <w:rsid w:val="00C342FA"/>
    <w:rsid w:val="00C34E77"/>
    <w:rsid w:val="00C3610C"/>
    <w:rsid w:val="00C466A6"/>
    <w:rsid w:val="00C5042C"/>
    <w:rsid w:val="00C61913"/>
    <w:rsid w:val="00C6351E"/>
    <w:rsid w:val="00C91ADA"/>
    <w:rsid w:val="00CB2B08"/>
    <w:rsid w:val="00CB6D71"/>
    <w:rsid w:val="00CC3928"/>
    <w:rsid w:val="00CD11EB"/>
    <w:rsid w:val="00CE0AC3"/>
    <w:rsid w:val="00CE69FB"/>
    <w:rsid w:val="00D06267"/>
    <w:rsid w:val="00D22F49"/>
    <w:rsid w:val="00D440BF"/>
    <w:rsid w:val="00D4524D"/>
    <w:rsid w:val="00D82311"/>
    <w:rsid w:val="00DB297E"/>
    <w:rsid w:val="00DB5A96"/>
    <w:rsid w:val="00DC3DEC"/>
    <w:rsid w:val="00DC5136"/>
    <w:rsid w:val="00DC7004"/>
    <w:rsid w:val="00DD4016"/>
    <w:rsid w:val="00DE09BC"/>
    <w:rsid w:val="00DE2113"/>
    <w:rsid w:val="00DE487B"/>
    <w:rsid w:val="00DF2019"/>
    <w:rsid w:val="00DF6632"/>
    <w:rsid w:val="00E1239B"/>
    <w:rsid w:val="00E21B23"/>
    <w:rsid w:val="00E232C1"/>
    <w:rsid w:val="00E46B31"/>
    <w:rsid w:val="00E563C8"/>
    <w:rsid w:val="00E648A0"/>
    <w:rsid w:val="00E70A99"/>
    <w:rsid w:val="00E73020"/>
    <w:rsid w:val="00E83F6A"/>
    <w:rsid w:val="00E8727A"/>
    <w:rsid w:val="00EA194A"/>
    <w:rsid w:val="00EA516F"/>
    <w:rsid w:val="00EA673D"/>
    <w:rsid w:val="00EB66FA"/>
    <w:rsid w:val="00ED350D"/>
    <w:rsid w:val="00ED3C16"/>
    <w:rsid w:val="00ED3F40"/>
    <w:rsid w:val="00F07A94"/>
    <w:rsid w:val="00F13498"/>
    <w:rsid w:val="00F32C08"/>
    <w:rsid w:val="00F36078"/>
    <w:rsid w:val="00F372B7"/>
    <w:rsid w:val="00F64CF9"/>
    <w:rsid w:val="00F67003"/>
    <w:rsid w:val="00F90099"/>
    <w:rsid w:val="00F95F07"/>
    <w:rsid w:val="00FB6D58"/>
    <w:rsid w:val="00FC17CB"/>
    <w:rsid w:val="00FC2E84"/>
    <w:rsid w:val="00FC70AC"/>
    <w:rsid w:val="00FD174A"/>
    <w:rsid w:val="00FD4DEB"/>
    <w:rsid w:val="00FD7A28"/>
    <w:rsid w:val="00FF3629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75F3"/>
  <w15:docId w15:val="{5FACF6B6-1AA6-4700-9593-EAD79F94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B8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57A1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A18"/>
  </w:style>
  <w:style w:type="paragraph" w:styleId="Piedepgina">
    <w:name w:val="footer"/>
    <w:basedOn w:val="Normal"/>
    <w:link w:val="PiedepginaCar"/>
    <w:uiPriority w:val="99"/>
    <w:unhideWhenUsed/>
    <w:rsid w:val="00B57A1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A18"/>
  </w:style>
  <w:style w:type="paragraph" w:styleId="Prrafodelista">
    <w:name w:val="List Paragraph"/>
    <w:basedOn w:val="Normal"/>
    <w:uiPriority w:val="34"/>
    <w:qFormat/>
    <w:rsid w:val="001061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2F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F4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.rodriguez@bcw-globa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egociosabiertos.c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jandra.hernandez@bcw-globa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4ZCWWc8seGhXYmXsLSt39A0YPQ==">AMUW2mWnN0f9X92+NJoiu7CKtRkMRW4DZEZ1+uFZe6YNIClqNB1fLxl1A+P5htDpnTDNkFfL43NmLnYLZouOQ7oIaNh5jR3Ca5oZC30fSepfdIjT83Q329cD8Z4UOcCNH10opgIYpK/BibnjRH58CZ8lbE+thSE6jN5Juz/jlWBNG+GN4+qY3UE69IseHjNxq2SQsT5r2lDj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DC36F400E224090880070CEE7C890" ma:contentTypeVersion="12" ma:contentTypeDescription="Crear nuevo documento." ma:contentTypeScope="" ma:versionID="9ee0cc10e6a353820a5ebdcae07de210">
  <xsd:schema xmlns:xsd="http://www.w3.org/2001/XMLSchema" xmlns:xs="http://www.w3.org/2001/XMLSchema" xmlns:p="http://schemas.microsoft.com/office/2006/metadata/properties" xmlns:ns2="ab39bc4c-8ddf-4422-8ba9-c0a0024ce9fe" xmlns:ns3="ae2ce6d8-df0d-4925-a792-75e4ce570191" targetNamespace="http://schemas.microsoft.com/office/2006/metadata/properties" ma:root="true" ma:fieldsID="3cd9dde710d5a9cb0963c62841a9304a" ns2:_="" ns3:_="">
    <xsd:import namespace="ab39bc4c-8ddf-4422-8ba9-c0a0024ce9fe"/>
    <xsd:import namespace="ae2ce6d8-df0d-4925-a792-75e4ce5701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9bc4c-8ddf-4422-8ba9-c0a0024ce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6d8-df0d-4925-a792-75e4ce570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D8111D-4D5D-430D-B283-53A685DB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9bc4c-8ddf-4422-8ba9-c0a0024ce9fe"/>
    <ds:schemaRef ds:uri="ae2ce6d8-df0d-4925-a792-75e4ce570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D5ACD-5CCE-42C3-B37F-F901EEC1E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42C1CE-A9C1-4C44-9165-6B039CC51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NATHALIA GONZALEZ VELASCO</dc:creator>
  <cp:keywords/>
  <dc:description/>
  <cp:lastModifiedBy>FABIOLA JURADO DE LA ROSA</cp:lastModifiedBy>
  <cp:revision>3</cp:revision>
  <dcterms:created xsi:type="dcterms:W3CDTF">2021-07-09T20:56:00Z</dcterms:created>
  <dcterms:modified xsi:type="dcterms:W3CDTF">2021-07-09T21:00:00Z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0x0101003CDDC36F400E224090880070CEE7C890</vt:lpwstr>
  </property>
</Properties>
</file>