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478D" w14:textId="77777777" w:rsidR="00DD759E" w:rsidRDefault="00501524">
      <w:pPr>
        <w:spacing w:after="0" w:line="240" w:lineRule="auto"/>
        <w:rPr>
          <w:rFonts w:ascii="Helvetica Neue" w:eastAsia="Helvetica Neue" w:hAnsi="Helvetica Neue" w:cs="Helvetica Neue"/>
          <w:b/>
          <w:color w:val="E31837"/>
          <w:sz w:val="28"/>
          <w:szCs w:val="28"/>
        </w:rPr>
      </w:pP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Comunicado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prensa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8"/>
          <w:szCs w:val="28"/>
        </w:rPr>
        <w:br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A556F49" wp14:editId="0A9AF041">
            <wp:simplePos x="0" y="0"/>
            <wp:positionH relativeFrom="column">
              <wp:posOffset>-941691</wp:posOffset>
            </wp:positionH>
            <wp:positionV relativeFrom="paragraph">
              <wp:posOffset>-1328742</wp:posOffset>
            </wp:positionV>
            <wp:extent cx="2594610" cy="948690"/>
            <wp:effectExtent l="0" t="0" r="0" b="0"/>
            <wp:wrapNone/>
            <wp:docPr id="21" name="image7.png" descr="rid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id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6FE3F6" w14:textId="77777777" w:rsidR="00DD759E" w:rsidRDefault="00501524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color w:val="E31837"/>
          <w:sz w:val="28"/>
          <w:szCs w:val="28"/>
        </w:rPr>
      </w:pP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logra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la meta de 1,5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millones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clientes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gracias a la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plataforma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billetera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digital de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Comviva</w:t>
      </w:r>
      <w:proofErr w:type="spellEnd"/>
    </w:p>
    <w:p w14:paraId="528911E2" w14:textId="4201B7A0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E31837"/>
          <w:sz w:val="28"/>
          <w:szCs w:val="28"/>
        </w:rPr>
        <w:br/>
      </w:r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BOGOTÁ, Colombia, </w:t>
      </w:r>
      <w:r w:rsidR="005A6BF1"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05</w:t>
      </w:r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julio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de 2021 --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empresa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digitales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anunció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mayo de 2021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logró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superar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meta de 1,5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millones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clientes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plataforma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billetera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digital.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es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quinta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institución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importante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 Colombia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cuanto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volumen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transacc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iones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alcanzado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esta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meta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rápido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cualquier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otra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entidad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rubro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ese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país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.</w:t>
      </w:r>
    </w:p>
    <w:p w14:paraId="6F7FE9CF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es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primera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plataforma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transacciones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monetarias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100 % digital de Colombia, que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través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aplicación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móvil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permite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amplio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abanico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acciones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sde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registro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clientes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hasta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realización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visión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revolucionar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inclusión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facilitando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todos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operaciones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dinero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través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un canal digital sin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trámites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burocráticos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.</w:t>
      </w:r>
    </w:p>
    <w:p w14:paraId="19399AD2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cuenta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con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tecnología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plataforma</w:t>
      </w:r>
      <w:proofErr w:type="spellEnd"/>
      <w:r>
        <w:fldChar w:fldCharType="begin"/>
      </w:r>
      <w:r>
        <w:instrText xml:space="preserve"> HYPERLINK "https://www.comviva.com/products-solutions/financial-solutions/digital-payments/digital-wallet-mobiquity-pay/" \h </w:instrText>
      </w:r>
      <w:r>
        <w:fldChar w:fldCharType="separate"/>
      </w:r>
      <w:r>
        <w:rPr>
          <w:rFonts w:ascii="Helvetica Neue" w:eastAsia="Helvetica Neue" w:hAnsi="Helvetica Neue" w:cs="Helvetica Neue"/>
          <w:color w:val="00837E"/>
          <w:sz w:val="24"/>
          <w:szCs w:val="24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837E"/>
          <w:sz w:val="24"/>
          <w:szCs w:val="24"/>
          <w:u w:val="single"/>
        </w:rPr>
        <w:t>mobiquity</w:t>
      </w:r>
      <w:proofErr w:type="spellEnd"/>
      <w:r>
        <w:rPr>
          <w:rFonts w:ascii="Helvetica Neue" w:eastAsia="Helvetica Neue" w:hAnsi="Helvetica Neue" w:cs="Helvetica Neue"/>
          <w:color w:val="00837E"/>
          <w:sz w:val="24"/>
          <w:szCs w:val="24"/>
          <w:u w:val="single"/>
        </w:rPr>
        <w:t>®</w:t>
      </w:r>
      <w:r>
        <w:rPr>
          <w:rFonts w:ascii="Helvetica Neue" w:eastAsia="Helvetica Neue" w:hAnsi="Helvetica Neue" w:cs="Helvetica Neue"/>
          <w:color w:val="00837E"/>
          <w:sz w:val="24"/>
          <w:szCs w:val="24"/>
          <w:u w:val="single"/>
        </w:rPr>
        <w:fldChar w:fldCharType="end"/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 </w:t>
      </w:r>
      <w:hyperlink r:id="rId8">
        <w:r>
          <w:rPr>
            <w:rFonts w:ascii="Helvetica Neue" w:eastAsia="Helvetica Neue" w:hAnsi="Helvetica Neue" w:cs="Helvetica Neue"/>
            <w:color w:val="00837E"/>
            <w:sz w:val="24"/>
            <w:szCs w:val="24"/>
            <w:u w:val="single"/>
          </w:rPr>
          <w:t xml:space="preserve">de </w:t>
        </w:r>
        <w:proofErr w:type="spellStart"/>
        <w:r>
          <w:rPr>
            <w:rFonts w:ascii="Helvetica Neue" w:eastAsia="Helvetica Neue" w:hAnsi="Helvetica Neue" w:cs="Helvetica Neue"/>
            <w:color w:val="00837E"/>
            <w:sz w:val="24"/>
            <w:szCs w:val="24"/>
            <w:u w:val="single"/>
          </w:rPr>
          <w:t>Comviva</w:t>
        </w:r>
        <w:proofErr w:type="spellEnd"/>
      </w:hyperlink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que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permite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70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servicios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digitales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 50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países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plataforma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dinero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última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generación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permite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usuarios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transferir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dinero,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obtener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préstamos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recibir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ayuda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facturas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realizar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vendedores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realizar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recargas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conexión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móvil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comprar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contenido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digital d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manera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instantánea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fácil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segura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cualquier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momento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lugar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través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un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teléfono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móvil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.</w:t>
      </w:r>
    </w:p>
    <w:p w14:paraId="51F51E10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plataforma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billetera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digital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utilizada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ampliamente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durante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pandemia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por COVID por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todos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sectores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sociedad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con un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aumento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xponencial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la base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clientes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las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transacciones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plataforma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billetera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digital de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permitido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que las personas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paguen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recibos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facturas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servicios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públicos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esenciales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compren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línea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transfieran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dinero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familiares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amigos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necesit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ados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durante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confinamiento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desde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seguridad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hogar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Más de 240.000 personas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económicamente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vulnerables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han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beneficiarias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Programa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Ingreso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Solidario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Gobierno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 Colombia 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través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lo que les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permitido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sostenerse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durante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pandemia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.</w:t>
      </w:r>
    </w:p>
    <w:p w14:paraId="438F395C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Hernando Rubio,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cofundador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y director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ejecutivo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, 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expresó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: "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Comviva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comparten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visión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aprovechar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tecnología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digital para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ofrecer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servicios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financieros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todos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sin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discriminación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.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Somos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fervientes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defensores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lastRenderedPageBreak/>
        <w:t>democrat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ización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servicios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incluir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financieramente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incluso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sectores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económicamente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vulnerables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Esta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visión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este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fervor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han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permitido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llegue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1,5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millones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usuarios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billetera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móvil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Aceleraremos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aún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este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cr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ecimiento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ofreciendo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nuevos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servicios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digitales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sean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importantes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para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colombianos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se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ajusten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contexto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actual".</w:t>
      </w:r>
    </w:p>
    <w:p w14:paraId="68984753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Manoranjan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 (Mao) Mohapatra, director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ejecutivo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Comviva</w:t>
      </w:r>
      <w:proofErr w:type="spellEnd"/>
      <w:r>
        <w:rPr>
          <w:rFonts w:ascii="Helvetica Neue" w:eastAsia="Helvetica Neue" w:hAnsi="Helvetica Neue" w:cs="Helvetica Neue"/>
          <w:b/>
          <w:color w:val="373737"/>
          <w:sz w:val="24"/>
          <w:szCs w:val="24"/>
        </w:rPr>
        <w:t>,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expresó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: "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Felicitamos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nuestro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socio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por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superar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me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ta de 1,5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millones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clientes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democratizado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acceso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 Colombia y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marcado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pauta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para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crecimiento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una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economía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digital.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rápido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crecimiento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durante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pandemia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desde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desembolso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ingreso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solidar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io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hasta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remotos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desde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hogar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durante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confinamiento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destaca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importancia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servicios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financieros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digitales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tanto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contexto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actual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como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futuro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Seguiremos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apoyando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lanzamiento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nuevos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innovadores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casos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centrados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cliente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prestación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una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experiencia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usuario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mejorada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".</w:t>
      </w:r>
    </w:p>
    <w:p w14:paraId="34F5313E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jc w:val="both"/>
        <w:rPr>
          <w:rFonts w:ascii="Helvetica Neue" w:eastAsia="Helvetica Neue" w:hAnsi="Helvetica Neue" w:cs="Helvetica Neue"/>
          <w:color w:val="373737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O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invertido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permanentemente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innovación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ha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lanzado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nuevos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productos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enfocados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las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necesidades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los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usuarios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Actualmente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trabaja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lanzamiento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</w:t>
      </w:r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inco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nuevos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productos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pagos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por PSE,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transferencias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interbancarias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remesas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internacionales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seguros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compra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venta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criptoactivos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impulsarán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su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crecimiento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futuro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Según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Forbes,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MOVii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es una de las 30 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empresas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colombianas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más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prometedoras</w:t>
      </w:r>
      <w:proofErr w:type="spellEnd"/>
      <w:r>
        <w:rPr>
          <w:rFonts w:ascii="Helvetica Neue" w:eastAsia="Helvetica Neue" w:hAnsi="Helvetica Neue" w:cs="Helvetica Neue"/>
          <w:color w:val="373737"/>
          <w:sz w:val="24"/>
          <w:szCs w:val="24"/>
        </w:rPr>
        <w:t>.</w:t>
      </w:r>
    </w:p>
    <w:p w14:paraId="3D6ED531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Contac</w:t>
      </w:r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to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 xml:space="preserve"> para </w:t>
      </w:r>
      <w:proofErr w:type="spellStart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medios</w:t>
      </w:r>
      <w:proofErr w:type="spellEnd"/>
      <w:r>
        <w:rPr>
          <w:rFonts w:ascii="Helvetica Neue" w:eastAsia="Helvetica Neue" w:hAnsi="Helvetica Neue" w:cs="Helvetica Neue"/>
          <w:b/>
          <w:color w:val="E31837"/>
          <w:sz w:val="24"/>
          <w:szCs w:val="24"/>
        </w:rPr>
        <w:t>:</w:t>
      </w:r>
    </w:p>
    <w:p w14:paraId="5FF57F15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404040"/>
          <w:sz w:val="20"/>
          <w:szCs w:val="20"/>
        </w:rPr>
        <w:t>Laura Gordillo</w:t>
      </w:r>
    </w:p>
    <w:p w14:paraId="68193100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color w:val="404040"/>
          <w:sz w:val="20"/>
          <w:szCs w:val="20"/>
        </w:rPr>
        <w:t>Contacto</w:t>
      </w:r>
      <w:proofErr w:type="spellEnd"/>
      <w:r>
        <w:rPr>
          <w:rFonts w:ascii="Helvetica Neue" w:eastAsia="Helvetica Neue" w:hAnsi="Helvetica Neue" w:cs="Helvetica Neue"/>
          <w:color w:val="404040"/>
          <w:sz w:val="20"/>
          <w:szCs w:val="20"/>
        </w:rPr>
        <w:t>: +54 341 2506657</w:t>
      </w:r>
    </w:p>
    <w:p w14:paraId="2979CE2E" w14:textId="77777777" w:rsidR="00DD759E" w:rsidRDefault="005015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525" w:line="240" w:lineRule="auto"/>
        <w:rPr>
          <w:rFonts w:ascii="Helvetica Neue" w:eastAsia="Helvetica Neue" w:hAnsi="Helvetica Neue" w:cs="Helvetica Neue"/>
          <w:b/>
          <w:color w:val="E31837"/>
          <w:sz w:val="24"/>
          <w:szCs w:val="24"/>
        </w:rPr>
      </w:pPr>
      <w:r>
        <w:rPr>
          <w:rFonts w:ascii="Helvetica Neue" w:eastAsia="Helvetica Neue" w:hAnsi="Helvetica Neue" w:cs="Helvetica Neue"/>
          <w:color w:val="404040"/>
          <w:sz w:val="20"/>
          <w:szCs w:val="20"/>
        </w:rPr>
        <w:t xml:space="preserve">Email: </w:t>
      </w:r>
      <w:hyperlink r:id="rId9">
        <w:r>
          <w:rPr>
            <w:rFonts w:ascii="Helvetica Neue" w:eastAsia="Helvetica Neue" w:hAnsi="Helvetica Neue" w:cs="Helvetica Neue"/>
            <w:color w:val="6D6E71"/>
            <w:sz w:val="20"/>
            <w:szCs w:val="20"/>
            <w:u w:val="single"/>
          </w:rPr>
          <w:t>laura.gordillo@magmacomms.com</w:t>
        </w:r>
      </w:hyperlink>
    </w:p>
    <w:p w14:paraId="40E773E2" w14:textId="77777777" w:rsidR="00DD759E" w:rsidRDefault="00DD759E">
      <w:pPr>
        <w:jc w:val="both"/>
        <w:rPr>
          <w:rFonts w:ascii="Helvetica Neue" w:eastAsia="Helvetica Neue" w:hAnsi="Helvetica Neue" w:cs="Helvetica Neue"/>
          <w:color w:val="404040"/>
          <w:sz w:val="20"/>
          <w:szCs w:val="20"/>
          <w:u w:val="single"/>
        </w:rPr>
      </w:pPr>
    </w:p>
    <w:sectPr w:rsidR="00DD759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0560" w14:textId="77777777" w:rsidR="00501524" w:rsidRDefault="00501524">
      <w:pPr>
        <w:spacing w:after="0" w:line="240" w:lineRule="auto"/>
      </w:pPr>
      <w:r>
        <w:separator/>
      </w:r>
    </w:p>
  </w:endnote>
  <w:endnote w:type="continuationSeparator" w:id="0">
    <w:p w14:paraId="6973695F" w14:textId="77777777" w:rsidR="00501524" w:rsidRDefault="0050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FF1F" w14:textId="77777777" w:rsidR="00DD759E" w:rsidRDefault="00501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Arial" w:eastAsia="Arial" w:hAnsi="Arial" w:cs="Arial"/>
        <w:color w:val="6D6E71"/>
        <w:sz w:val="18"/>
        <w:szCs w:val="18"/>
      </w:rPr>
      <w:t xml:space="preserve">Copyright © 2021 </w:t>
    </w:r>
    <w:proofErr w:type="spellStart"/>
    <w:r>
      <w:rPr>
        <w:rFonts w:ascii="Arial" w:eastAsia="Arial" w:hAnsi="Arial" w:cs="Arial"/>
        <w:color w:val="6D6E71"/>
        <w:sz w:val="18"/>
        <w:szCs w:val="18"/>
      </w:rPr>
      <w:t>Comviva</w:t>
    </w:r>
    <w:proofErr w:type="spellEnd"/>
    <w:r>
      <w:rPr>
        <w:rFonts w:ascii="Arial" w:eastAsia="Arial" w:hAnsi="Arial" w:cs="Arial"/>
        <w:color w:val="6D6E71"/>
        <w:sz w:val="18"/>
        <w:szCs w:val="18"/>
      </w:rPr>
      <w:t xml:space="preserve"> Technologies Limited. All rights reserved.</w:t>
    </w:r>
    <w:r>
      <w:rPr>
        <w:rFonts w:ascii="Arial" w:eastAsia="Arial" w:hAnsi="Arial" w:cs="Arial"/>
        <w:color w:val="6D6E71"/>
        <w:sz w:val="18"/>
        <w:szCs w:val="18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9A6E8AA" wp14:editId="53388617">
              <wp:simplePos x="0" y="0"/>
              <wp:positionH relativeFrom="column">
                <wp:posOffset>4965700</wp:posOffset>
              </wp:positionH>
              <wp:positionV relativeFrom="paragraph">
                <wp:posOffset>9207500</wp:posOffset>
              </wp:positionV>
              <wp:extent cx="1173480" cy="276225"/>
              <wp:effectExtent l="0" t="0" r="0" b="0"/>
              <wp:wrapSquare wrapText="bothSides" distT="0" distB="0" distL="114300" distR="114300"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8785" y="3651413"/>
                        <a:ext cx="11544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2A6D8" w14:textId="77777777" w:rsidR="00DD759E" w:rsidRDefault="00501524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Comviva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 xml:space="preserve"> Public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4965700</wp:posOffset>
              </wp:positionH>
              <wp:positionV relativeFrom="paragraph">
                <wp:posOffset>9207500</wp:posOffset>
              </wp:positionV>
              <wp:extent cx="1173480" cy="276225"/>
              <wp:effectExtent b="0" l="0" r="0" t="0"/>
              <wp:wrapSquare wrapText="bothSides" distB="0" distT="0" distL="114300" distR="114300"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348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A7D135F" wp14:editId="6B5CF661">
              <wp:simplePos x="0" y="0"/>
              <wp:positionH relativeFrom="column">
                <wp:posOffset>-952499</wp:posOffset>
              </wp:positionH>
              <wp:positionV relativeFrom="paragraph">
                <wp:posOffset>-63499</wp:posOffset>
              </wp:positionV>
              <wp:extent cx="1066800" cy="276225"/>
              <wp:effectExtent l="0" t="0" r="0" b="0"/>
              <wp:wrapSquare wrapText="bothSides" distT="0" distB="0" distL="114300" distR="114300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2125" y="3651413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929C5" w14:textId="77777777" w:rsidR="00DD759E" w:rsidRDefault="0050152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>Comviva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20"/>
                            </w:rPr>
                            <w:t xml:space="preserve"> Public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-63499</wp:posOffset>
              </wp:positionV>
              <wp:extent cx="1066800" cy="276225"/>
              <wp:effectExtent b="0" l="0" r="0" t="0"/>
              <wp:wrapSquare wrapText="bothSides" distB="0" distT="0" distL="114300" distR="114300"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347373C" w14:textId="77777777" w:rsidR="00DD759E" w:rsidRDefault="00DD75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2A43" w14:textId="77777777" w:rsidR="00DD759E" w:rsidRDefault="00501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6D6E71"/>
        <w:sz w:val="20"/>
        <w:szCs w:val="20"/>
      </w:rPr>
    </w:pPr>
    <w:r>
      <w:rPr>
        <w:rFonts w:ascii="Arial" w:eastAsia="Arial" w:hAnsi="Arial" w:cs="Arial"/>
        <w:color w:val="6D6E71"/>
        <w:sz w:val="18"/>
        <w:szCs w:val="18"/>
      </w:rPr>
      <w:t>Copyright © 2012 Mahindra &amp; Mahindra Ltd. All rights reserved.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4D6A" w14:textId="77777777" w:rsidR="00501524" w:rsidRDefault="00501524">
      <w:pPr>
        <w:spacing w:after="0" w:line="240" w:lineRule="auto"/>
      </w:pPr>
      <w:r>
        <w:separator/>
      </w:r>
    </w:p>
  </w:footnote>
  <w:footnote w:type="continuationSeparator" w:id="0">
    <w:p w14:paraId="2A5A4321" w14:textId="77777777" w:rsidR="00501524" w:rsidRDefault="0050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E34A" w14:textId="77777777" w:rsidR="00DD759E" w:rsidRDefault="00501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21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</w:t>
    </w:r>
    <w:r>
      <w:rPr>
        <w:noProof/>
        <w:color w:val="000000"/>
      </w:rPr>
      <w:drawing>
        <wp:inline distT="0" distB="0" distL="0" distR="0" wp14:anchorId="0537F61B" wp14:editId="4EE91E42">
          <wp:extent cx="1375628" cy="623332"/>
          <wp:effectExtent l="0" t="0" r="0" b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628" cy="623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</w:t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03AA982" wp14:editId="4585D0C5">
          <wp:extent cx="2428875" cy="685800"/>
          <wp:effectExtent l="0" t="0" r="0" b="0"/>
          <wp:docPr id="24" name="image2.jpg" descr="Comviva_Logo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mviva_Logo 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DD8E9C" w14:textId="77777777" w:rsidR="00DD759E" w:rsidRDefault="00DD75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210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0A53" w14:textId="77777777" w:rsidR="00DD759E" w:rsidRDefault="00501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64E364" wp14:editId="017472C9">
          <wp:simplePos x="0" y="0"/>
          <wp:positionH relativeFrom="column">
            <wp:posOffset>-916302</wp:posOffset>
          </wp:positionH>
          <wp:positionV relativeFrom="paragraph">
            <wp:posOffset>-457197</wp:posOffset>
          </wp:positionV>
          <wp:extent cx="3978910" cy="1445895"/>
          <wp:effectExtent l="0" t="0" r="0" b="0"/>
          <wp:wrapNone/>
          <wp:docPr id="23" name="image4.png" descr="rid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id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8910" cy="144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B643B5E" wp14:editId="7F4687BF">
          <wp:simplePos x="0" y="0"/>
          <wp:positionH relativeFrom="column">
            <wp:posOffset>3375025</wp:posOffset>
          </wp:positionH>
          <wp:positionV relativeFrom="paragraph">
            <wp:posOffset>233045</wp:posOffset>
          </wp:positionV>
          <wp:extent cx="2818130" cy="673100"/>
          <wp:effectExtent l="0" t="0" r="0" b="0"/>
          <wp:wrapNone/>
          <wp:docPr id="22" name="image1.png" descr="Mahindr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hindra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813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9E"/>
    <w:rsid w:val="00501524"/>
    <w:rsid w:val="005A6BF1"/>
    <w:rsid w:val="00D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DBEA"/>
  <w15:docId w15:val="{224A0F54-7CCD-4ECD-AEB1-5C1D562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EF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4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2E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2EF"/>
    <w:rPr>
      <w:rFonts w:ascii="Calibri" w:eastAsia="Calibri" w:hAnsi="Calibri" w:cs="Times New Roman"/>
      <w:lang w:val="en-US"/>
    </w:rPr>
  </w:style>
  <w:style w:type="character" w:styleId="Hipervnculo">
    <w:name w:val="Hyperlink"/>
    <w:uiPriority w:val="99"/>
    <w:unhideWhenUsed/>
    <w:rsid w:val="00F432EF"/>
    <w:rPr>
      <w:color w:val="6D6E71"/>
      <w:u w:val="single"/>
    </w:rPr>
  </w:style>
  <w:style w:type="paragraph" w:customStyle="1" w:styleId="MahindraSubheading">
    <w:name w:val="Mahindra Subheading"/>
    <w:basedOn w:val="Normal"/>
    <w:next w:val="Ttulo2"/>
    <w:link w:val="MahindraSubheadingChar"/>
    <w:qFormat/>
    <w:rsid w:val="00F432EF"/>
    <w:rPr>
      <w:rFonts w:ascii="Arial" w:hAnsi="Arial"/>
      <w:b/>
      <w:color w:val="E31837"/>
      <w:sz w:val="28"/>
      <w:szCs w:val="28"/>
    </w:rPr>
  </w:style>
  <w:style w:type="character" w:customStyle="1" w:styleId="MahindraSubheadingChar">
    <w:name w:val="Mahindra Subheading Char"/>
    <w:link w:val="MahindraSubheading"/>
    <w:rsid w:val="00F432EF"/>
    <w:rPr>
      <w:rFonts w:ascii="Arial" w:eastAsia="Calibri" w:hAnsi="Arial" w:cs="Times New Roman"/>
      <w:b/>
      <w:color w:val="E31837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2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F432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5A"/>
    <w:rPr>
      <w:rFonts w:ascii="Tahoma" w:eastAsia="Calibri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34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C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C88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C8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50B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54B0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4B9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nfasis">
    <w:name w:val="Emphasis"/>
    <w:basedOn w:val="Fuentedeprrafopredeter"/>
    <w:uiPriority w:val="20"/>
    <w:qFormat/>
    <w:rsid w:val="00BB5406"/>
    <w:rPr>
      <w:i/>
      <w:i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132C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n-location">
    <w:name w:val="xn-location"/>
    <w:basedOn w:val="Fuentedeprrafopredeter"/>
    <w:rsid w:val="0037164D"/>
  </w:style>
  <w:style w:type="character" w:customStyle="1" w:styleId="xn-person">
    <w:name w:val="xn-person"/>
    <w:basedOn w:val="Fuentedeprrafopredeter"/>
    <w:rsid w:val="0037164D"/>
  </w:style>
  <w:style w:type="character" w:styleId="Mencinsinresolver">
    <w:name w:val="Unresolved Mention"/>
    <w:basedOn w:val="Fuentedeprrafopredeter"/>
    <w:uiPriority w:val="99"/>
    <w:semiHidden/>
    <w:unhideWhenUsed/>
    <w:rsid w:val="0037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viva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0DTpMj9SoF6H1Si1W13dqoCuTg==">AMUW2mUyber59s0MhbYH/ui38KshzD+t/7q9bHb5wiAeGMdC/8W6/9dsDT9pNcnchBQyJOlWMtp0Y3V4adM9ZeMEmSphOeigStuxyTCKjLolfE5PXKXOleg=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Bhargava</dc:creator>
  <cp:lastModifiedBy>Comunicación</cp:lastModifiedBy>
  <cp:revision>2</cp:revision>
  <dcterms:created xsi:type="dcterms:W3CDTF">2021-07-06T00:02:00Z</dcterms:created>
  <dcterms:modified xsi:type="dcterms:W3CDTF">2021-07-06T00:02:00Z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Public</vt:lpwstr>
  </property>
</Properties>
</file>