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5D4C" w:rsidRDefault="008D5D4C">
      <w:pPr>
        <w:spacing w:line="240" w:lineRule="auto"/>
        <w:ind w:left="-993"/>
        <w:rPr>
          <w:rFonts w:ascii="Arial" w:eastAsia="Arial" w:hAnsi="Arial" w:cs="Arial"/>
          <w:b/>
          <w:color w:val="21B0E1"/>
          <w:sz w:val="24"/>
          <w:szCs w:val="24"/>
        </w:rPr>
      </w:pPr>
    </w:p>
    <w:p w14:paraId="00000002" w14:textId="77777777" w:rsidR="008D5D4C" w:rsidRDefault="00C0459C">
      <w:pPr>
        <w:spacing w:line="240" w:lineRule="auto"/>
        <w:ind w:left="-994"/>
        <w:rPr>
          <w:rFonts w:ascii="Arial" w:eastAsia="Arial" w:hAnsi="Arial" w:cs="Arial"/>
          <w:b/>
          <w:color w:val="21B0E1"/>
          <w:sz w:val="52"/>
          <w:szCs w:val="52"/>
        </w:rPr>
      </w:pPr>
      <w:r>
        <w:rPr>
          <w:rFonts w:ascii="Arial" w:eastAsia="Arial" w:hAnsi="Arial" w:cs="Arial"/>
          <w:b/>
          <w:color w:val="21B0E1"/>
          <w:sz w:val="52"/>
          <w:szCs w:val="52"/>
        </w:rPr>
        <w:t>Biogénesis Bagó inaugura sus nuevas instalaciones del Banco de vacunas para Fiebre Aftosa</w:t>
      </w:r>
    </w:p>
    <w:p w14:paraId="00000003" w14:textId="77777777" w:rsidR="008D5D4C" w:rsidRDefault="00C0459C">
      <w:pPr>
        <w:spacing w:line="240" w:lineRule="auto"/>
        <w:ind w:left="-993" w:right="142"/>
        <w:jc w:val="both"/>
        <w:rPr>
          <w:rFonts w:ascii="Arial" w:eastAsia="Arial" w:hAnsi="Arial" w:cs="Arial"/>
          <w:color w:val="808080"/>
          <w:sz w:val="36"/>
          <w:szCs w:val="36"/>
        </w:rPr>
      </w:pPr>
      <w:r>
        <w:rPr>
          <w:rFonts w:ascii="Arial" w:eastAsia="Arial" w:hAnsi="Arial" w:cs="Arial"/>
          <w:color w:val="808080"/>
          <w:sz w:val="36"/>
          <w:szCs w:val="36"/>
        </w:rPr>
        <w:t xml:space="preserve">La instalación es una reserva estratégica de antígenos y vacunas contra la fiebre aftosa única en Latinoamérica. </w:t>
      </w:r>
    </w:p>
    <w:p w14:paraId="00000004" w14:textId="06F61765" w:rsidR="008D5D4C" w:rsidRDefault="00656EB3">
      <w:pPr>
        <w:spacing w:line="240" w:lineRule="auto"/>
        <w:ind w:left="-993" w:right="142"/>
        <w:jc w:val="both"/>
        <w:rPr>
          <w:rFonts w:ascii="Arial" w:eastAsia="Arial" w:hAnsi="Arial" w:cs="Arial"/>
          <w:color w:val="595959"/>
          <w:sz w:val="24"/>
          <w:szCs w:val="24"/>
        </w:rPr>
      </w:pPr>
      <w:r>
        <w:rPr>
          <w:rFonts w:ascii="Arial" w:eastAsia="Arial" w:hAnsi="Arial" w:cs="Arial"/>
          <w:b/>
          <w:color w:val="595959"/>
          <w:sz w:val="24"/>
          <w:szCs w:val="24"/>
        </w:rPr>
        <w:t xml:space="preserve">Bogotá 21 de </w:t>
      </w:r>
      <w:r w:rsidR="00C0459C">
        <w:rPr>
          <w:rFonts w:ascii="Arial" w:eastAsia="Arial" w:hAnsi="Arial" w:cs="Arial"/>
          <w:b/>
          <w:color w:val="595959"/>
          <w:sz w:val="24"/>
          <w:szCs w:val="24"/>
        </w:rPr>
        <w:t>junio de 2021.-</w:t>
      </w:r>
      <w:r w:rsidR="00C0459C">
        <w:rPr>
          <w:rFonts w:ascii="Arial" w:eastAsia="Arial" w:hAnsi="Arial" w:cs="Arial"/>
          <w:color w:val="595959"/>
          <w:sz w:val="24"/>
          <w:szCs w:val="24"/>
          <w:highlight w:val="white"/>
        </w:rPr>
        <w:t xml:space="preserve"> Biogénesis Bagó, la compañía de biotecnología especializada en el desarrollo, producción y comercialización de productos para la sanidad y productividad </w:t>
      </w:r>
      <w:proofErr w:type="gramStart"/>
      <w:r w:rsidR="00C0459C">
        <w:rPr>
          <w:rFonts w:ascii="Arial" w:eastAsia="Arial" w:hAnsi="Arial" w:cs="Arial"/>
          <w:color w:val="595959"/>
          <w:sz w:val="24"/>
          <w:szCs w:val="24"/>
          <w:highlight w:val="white"/>
        </w:rPr>
        <w:t>animal,</w:t>
      </w:r>
      <w:proofErr w:type="gramEnd"/>
      <w:r w:rsidR="00C0459C">
        <w:rPr>
          <w:rFonts w:ascii="Arial" w:eastAsia="Arial" w:hAnsi="Arial" w:cs="Arial"/>
          <w:color w:val="595959"/>
          <w:sz w:val="24"/>
          <w:szCs w:val="24"/>
          <w:highlight w:val="white"/>
        </w:rPr>
        <w:t xml:space="preserve"> </w:t>
      </w:r>
      <w:r w:rsidR="00C0459C">
        <w:rPr>
          <w:rFonts w:ascii="Arial" w:eastAsia="Arial" w:hAnsi="Arial" w:cs="Arial"/>
          <w:color w:val="595959"/>
          <w:sz w:val="24"/>
          <w:szCs w:val="24"/>
        </w:rPr>
        <w:t xml:space="preserve">construyó una nueva instalación que </w:t>
      </w:r>
      <w:r w:rsidR="00C0459C">
        <w:rPr>
          <w:rFonts w:ascii="Arial" w:eastAsia="Arial" w:hAnsi="Arial" w:cs="Arial"/>
          <w:b/>
          <w:color w:val="595959"/>
          <w:sz w:val="24"/>
          <w:szCs w:val="24"/>
        </w:rPr>
        <w:t>amplía su capacidad de respuesta a emergencias a 60 millones de dosis de vacunas contra la fiebre aftosa</w:t>
      </w:r>
      <w:r w:rsidR="00C0459C">
        <w:rPr>
          <w:rFonts w:ascii="Arial" w:eastAsia="Arial" w:hAnsi="Arial" w:cs="Arial"/>
          <w:color w:val="595959"/>
          <w:sz w:val="24"/>
          <w:szCs w:val="24"/>
        </w:rPr>
        <w:t xml:space="preserve"> </w:t>
      </w:r>
      <w:r w:rsidR="00C0459C">
        <w:rPr>
          <w:rFonts w:ascii="Arial" w:eastAsia="Arial" w:hAnsi="Arial" w:cs="Arial"/>
          <w:b/>
          <w:color w:val="595959"/>
          <w:sz w:val="24"/>
          <w:szCs w:val="24"/>
        </w:rPr>
        <w:t>y con capacidad de ampliación acorde a las demandas futuras.</w:t>
      </w:r>
    </w:p>
    <w:p w14:paraId="00000005" w14:textId="77777777" w:rsidR="008D5D4C" w:rsidRDefault="00C0459C">
      <w:pPr>
        <w:spacing w:line="240" w:lineRule="auto"/>
        <w:ind w:left="-993" w:right="142"/>
        <w:jc w:val="both"/>
        <w:rPr>
          <w:rFonts w:ascii="Arial" w:eastAsia="Arial" w:hAnsi="Arial" w:cs="Arial"/>
          <w:color w:val="595959"/>
          <w:sz w:val="24"/>
          <w:szCs w:val="24"/>
        </w:rPr>
      </w:pPr>
      <w:r>
        <w:rPr>
          <w:rFonts w:ascii="Arial" w:eastAsia="Arial" w:hAnsi="Arial" w:cs="Arial"/>
          <w:color w:val="595959"/>
          <w:sz w:val="24"/>
          <w:szCs w:val="24"/>
        </w:rPr>
        <w:t xml:space="preserve">La nueva instalación construida por la compañía, que apunta a atender la necesidad global de contar con vacunas de “clase mundial” para actuar frente a emergencias sanitarias y acompañar la evolución tecnológica, </w:t>
      </w:r>
      <w:r>
        <w:rPr>
          <w:rFonts w:ascii="Arial" w:eastAsia="Arial" w:hAnsi="Arial" w:cs="Arial"/>
          <w:b/>
          <w:color w:val="595959"/>
          <w:sz w:val="24"/>
          <w:szCs w:val="24"/>
        </w:rPr>
        <w:t>cuenta con medidas de seguridad y monitoreo de características especiales, donde se alojan 20 tanques que permiten almacenar en nitrógeno líquido a -180° C antígenos ultra concentrados</w:t>
      </w:r>
      <w:r>
        <w:rPr>
          <w:rFonts w:ascii="Arial" w:eastAsia="Arial" w:hAnsi="Arial" w:cs="Arial"/>
          <w:color w:val="595959"/>
          <w:sz w:val="24"/>
          <w:szCs w:val="24"/>
        </w:rPr>
        <w:t xml:space="preserve">. </w:t>
      </w:r>
      <w:r>
        <w:rPr>
          <w:rFonts w:ascii="Arial" w:eastAsia="Arial" w:hAnsi="Arial" w:cs="Arial"/>
          <w:b/>
          <w:color w:val="595959"/>
          <w:sz w:val="24"/>
          <w:szCs w:val="24"/>
        </w:rPr>
        <w:t>Estos constituyen la materia prima crítica para formular vacunas con garantía de potencia y seguridad en un plazo no mayor a una semana -mientras que la elaboración de una vacuna con un esquema tradicional lleva al menos 3 meses</w:t>
      </w:r>
      <w:r>
        <w:rPr>
          <w:rFonts w:ascii="Arial" w:eastAsia="Arial" w:hAnsi="Arial" w:cs="Arial"/>
          <w:color w:val="595959"/>
          <w:sz w:val="24"/>
          <w:szCs w:val="24"/>
        </w:rPr>
        <w:t>- y de esta manera poder atender cualquier emergencia que lo demande, en cualquier lugar del mundo, de manera inmediata.</w:t>
      </w:r>
    </w:p>
    <w:p w14:paraId="00000006" w14:textId="77777777" w:rsidR="008D5D4C" w:rsidRDefault="00C0459C">
      <w:pPr>
        <w:spacing w:line="240" w:lineRule="auto"/>
        <w:ind w:left="-993" w:right="142"/>
        <w:jc w:val="both"/>
        <w:rPr>
          <w:rFonts w:ascii="Arial" w:eastAsia="Arial" w:hAnsi="Arial" w:cs="Arial"/>
          <w:color w:val="595959"/>
          <w:sz w:val="24"/>
          <w:szCs w:val="24"/>
          <w:highlight w:val="white"/>
        </w:rPr>
      </w:pPr>
      <w:r>
        <w:rPr>
          <w:rFonts w:ascii="Arial" w:eastAsia="Arial" w:hAnsi="Arial" w:cs="Arial"/>
          <w:i/>
          <w:color w:val="595959"/>
          <w:sz w:val="24"/>
          <w:szCs w:val="24"/>
        </w:rPr>
        <w:t>“Nuestra experiencia en atención a emergencias junto a nuestra constante innovación tecnológica y profesionalización del capital humano nos consolida como referente mundial en la lucha contra la fiebre aftosa. Este proyecto es un ejemplo de nuestro compromiso con la evolución de la salud animal y al mismo tiempo con el desarrollo de conocimiento y capacidad de producción desde Argentina y la región hacia el mundo”</w:t>
      </w:r>
      <w:r>
        <w:rPr>
          <w:rFonts w:ascii="Arial" w:eastAsia="Arial" w:hAnsi="Arial" w:cs="Arial"/>
          <w:color w:val="595959"/>
          <w:sz w:val="24"/>
          <w:szCs w:val="24"/>
          <w:highlight w:val="white"/>
        </w:rPr>
        <w:t xml:space="preserve">, afirma </w:t>
      </w:r>
      <w:r>
        <w:rPr>
          <w:rFonts w:ascii="Arial" w:eastAsia="Arial" w:hAnsi="Arial" w:cs="Arial"/>
          <w:b/>
          <w:color w:val="595959"/>
          <w:sz w:val="24"/>
          <w:szCs w:val="24"/>
          <w:highlight w:val="white"/>
        </w:rPr>
        <w:t>Esteban Turic</w:t>
      </w:r>
      <w:r>
        <w:rPr>
          <w:rFonts w:ascii="Arial" w:eastAsia="Arial" w:hAnsi="Arial" w:cs="Arial"/>
          <w:color w:val="595959"/>
          <w:sz w:val="24"/>
          <w:szCs w:val="24"/>
          <w:highlight w:val="white"/>
        </w:rPr>
        <w:t>, CEO de Biogénesis Bagó.</w:t>
      </w:r>
    </w:p>
    <w:p w14:paraId="00000007" w14:textId="77777777" w:rsidR="008D5D4C" w:rsidRDefault="00C0459C">
      <w:pPr>
        <w:spacing w:line="240" w:lineRule="auto"/>
        <w:ind w:left="-993" w:right="142"/>
        <w:jc w:val="both"/>
        <w:rPr>
          <w:rFonts w:ascii="Arial" w:eastAsia="Arial" w:hAnsi="Arial" w:cs="Arial"/>
          <w:b/>
          <w:color w:val="595959"/>
          <w:sz w:val="24"/>
          <w:szCs w:val="24"/>
        </w:rPr>
      </w:pPr>
      <w:r>
        <w:rPr>
          <w:rFonts w:ascii="Arial" w:eastAsia="Arial" w:hAnsi="Arial" w:cs="Arial"/>
          <w:color w:val="595959"/>
          <w:sz w:val="24"/>
          <w:szCs w:val="24"/>
        </w:rPr>
        <w:t xml:space="preserve">La evolución de Biogénesis Bagó como líder global posiciona a la compañía como una de las únicas empresas a nivel mundial </w:t>
      </w:r>
      <w:r>
        <w:rPr>
          <w:rFonts w:ascii="Arial" w:eastAsia="Arial" w:hAnsi="Arial" w:cs="Arial"/>
          <w:b/>
          <w:color w:val="595959"/>
          <w:sz w:val="24"/>
          <w:szCs w:val="24"/>
        </w:rPr>
        <w:t xml:space="preserve">con capacidad de producción y abastecimiento con productos de clase mundial seguros y eficaces. </w:t>
      </w:r>
      <w:r>
        <w:rPr>
          <w:rFonts w:ascii="Arial" w:eastAsia="Arial" w:hAnsi="Arial" w:cs="Arial"/>
          <w:color w:val="595959"/>
          <w:sz w:val="24"/>
          <w:szCs w:val="24"/>
        </w:rPr>
        <w:t xml:space="preserve">Esto es el resultado de la vasta trayectoria e inversión constante de la compañía en la lucha contra la fiebre aftosa y del trabajo conjunto con organismos científicos y técnicos de Argentina y centros de referencia globales. Al mismo tiempo la cooperación público-privada ha permitido el desarrollo de profesionales altamente calificados que son la base de la evolución tecnológica de la empresa. </w:t>
      </w:r>
    </w:p>
    <w:p w14:paraId="00000008" w14:textId="77777777" w:rsidR="008D5D4C" w:rsidRDefault="00C0459C">
      <w:pPr>
        <w:spacing w:line="240" w:lineRule="auto"/>
        <w:ind w:left="-993" w:right="142"/>
        <w:jc w:val="both"/>
        <w:rPr>
          <w:rFonts w:ascii="Arial" w:eastAsia="Arial" w:hAnsi="Arial" w:cs="Arial"/>
          <w:color w:val="595959"/>
          <w:sz w:val="24"/>
          <w:szCs w:val="24"/>
        </w:rPr>
      </w:pPr>
      <w:r>
        <w:rPr>
          <w:rFonts w:ascii="Arial" w:eastAsia="Arial" w:hAnsi="Arial" w:cs="Arial"/>
          <w:i/>
          <w:color w:val="595959"/>
          <w:sz w:val="24"/>
          <w:szCs w:val="24"/>
        </w:rPr>
        <w:lastRenderedPageBreak/>
        <w:t>“La participación en campañas de emergencia y la provisión a SENASA de Argentina, al Banco Nacional de Vacunas Animales y Contramedidas Veterinarias del Departamento de Agricultura de los Estados Unidos (USDA) y al Banco Norteamericano de vacunas contra la fiebre aftosa, que Estados Unidos integra con Canadá marcan un precedente sobre nuestras competencias y los logros que podremos alcanzar a partir de esta ampliación”,</w:t>
      </w:r>
      <w:r>
        <w:rPr>
          <w:rFonts w:ascii="Arial" w:eastAsia="Arial" w:hAnsi="Arial" w:cs="Arial"/>
          <w:color w:val="595959"/>
          <w:sz w:val="24"/>
          <w:szCs w:val="24"/>
        </w:rPr>
        <w:t xml:space="preserve"> agrega </w:t>
      </w:r>
      <w:r>
        <w:rPr>
          <w:rFonts w:ascii="Arial" w:eastAsia="Arial" w:hAnsi="Arial" w:cs="Arial"/>
          <w:b/>
          <w:color w:val="595959"/>
          <w:sz w:val="24"/>
          <w:szCs w:val="24"/>
        </w:rPr>
        <w:t>Rodolfo Bellinzoni</w:t>
      </w:r>
      <w:r>
        <w:rPr>
          <w:rFonts w:ascii="Arial" w:eastAsia="Arial" w:hAnsi="Arial" w:cs="Arial"/>
          <w:color w:val="595959"/>
          <w:sz w:val="24"/>
          <w:szCs w:val="24"/>
        </w:rPr>
        <w:t>, Director de Operaciones Industriales en Innovación de Biogénesis Bagó y referente mundial en la materia.</w:t>
      </w:r>
    </w:p>
    <w:p w14:paraId="00000009" w14:textId="77777777" w:rsidR="008D5D4C" w:rsidRDefault="00C0459C">
      <w:pPr>
        <w:spacing w:line="240" w:lineRule="auto"/>
        <w:ind w:left="-993" w:right="142"/>
        <w:jc w:val="both"/>
        <w:rPr>
          <w:rFonts w:ascii="Arial" w:eastAsia="Arial" w:hAnsi="Arial" w:cs="Arial"/>
          <w:color w:val="595959"/>
          <w:sz w:val="24"/>
          <w:szCs w:val="24"/>
        </w:rPr>
      </w:pPr>
      <w:r>
        <w:rPr>
          <w:rFonts w:ascii="Arial" w:eastAsia="Arial" w:hAnsi="Arial" w:cs="Arial"/>
          <w:color w:val="595959"/>
          <w:sz w:val="24"/>
          <w:szCs w:val="24"/>
        </w:rPr>
        <w:t xml:space="preserve">A partir de este anuncio - que es parte de un ambicioso plan de inversión que contempla la realización de otras obras de relevancia - Biogénesis Bagó busca ampliar su capacidad de atención de necesidades sanitarias a toda la región. </w:t>
      </w:r>
    </w:p>
    <w:p w14:paraId="0000000B" w14:textId="77777777" w:rsidR="008D5D4C" w:rsidRDefault="008D5D4C">
      <w:pPr>
        <w:spacing w:after="0" w:line="240" w:lineRule="auto"/>
        <w:jc w:val="both"/>
        <w:rPr>
          <w:rFonts w:ascii="Arial" w:eastAsia="Arial" w:hAnsi="Arial" w:cs="Arial"/>
          <w:color w:val="595959"/>
          <w:sz w:val="24"/>
          <w:szCs w:val="24"/>
        </w:rPr>
      </w:pPr>
    </w:p>
    <w:p w14:paraId="0000000C" w14:textId="77777777" w:rsidR="008D5D4C" w:rsidRDefault="008D5D4C">
      <w:pPr>
        <w:spacing w:after="0" w:line="240" w:lineRule="auto"/>
        <w:jc w:val="both"/>
        <w:rPr>
          <w:rFonts w:ascii="Times New Roman" w:eastAsia="Times New Roman" w:hAnsi="Times New Roman" w:cs="Times New Roman"/>
          <w:sz w:val="24"/>
          <w:szCs w:val="24"/>
        </w:rPr>
      </w:pPr>
    </w:p>
    <w:p w14:paraId="0000000D" w14:textId="77777777" w:rsidR="008D5D4C" w:rsidRDefault="00C0459C">
      <w:pPr>
        <w:spacing w:line="240" w:lineRule="auto"/>
        <w:ind w:left="-993" w:right="142"/>
        <w:jc w:val="both"/>
        <w:rPr>
          <w:rFonts w:ascii="Arial" w:eastAsia="Arial" w:hAnsi="Arial" w:cs="Arial"/>
          <w:b/>
          <w:color w:val="595959"/>
          <w:sz w:val="20"/>
          <w:szCs w:val="20"/>
          <w:highlight w:val="white"/>
        </w:rPr>
      </w:pPr>
      <w:r>
        <w:rPr>
          <w:rFonts w:ascii="Arial" w:eastAsia="Arial" w:hAnsi="Arial" w:cs="Arial"/>
          <w:b/>
          <w:color w:val="595959"/>
          <w:sz w:val="20"/>
          <w:szCs w:val="20"/>
          <w:highlight w:val="white"/>
        </w:rPr>
        <w:t>Acerca de Biogénesis Bagó</w:t>
      </w:r>
    </w:p>
    <w:p w14:paraId="0000000E" w14:textId="77777777" w:rsidR="008D5D4C" w:rsidRDefault="00C0459C">
      <w:pPr>
        <w:spacing w:line="240" w:lineRule="auto"/>
        <w:ind w:left="-993" w:right="142"/>
        <w:jc w:val="both"/>
        <w:rPr>
          <w:rFonts w:ascii="Arial" w:eastAsia="Arial" w:hAnsi="Arial" w:cs="Arial"/>
          <w:color w:val="595959"/>
          <w:sz w:val="18"/>
          <w:szCs w:val="18"/>
        </w:rPr>
      </w:pPr>
      <w:r>
        <w:rPr>
          <w:rFonts w:ascii="Arial" w:eastAsia="Arial" w:hAnsi="Arial" w:cs="Arial"/>
          <w:color w:val="595959"/>
          <w:sz w:val="18"/>
          <w:szCs w:val="18"/>
        </w:rPr>
        <w:t>Biogénesis Bagó es una empresa de biotecnología especializada en el desarrollo, producción y comercialización de tecnologías destinadas a la salud animal.</w:t>
      </w:r>
    </w:p>
    <w:p w14:paraId="0000000F" w14:textId="77777777" w:rsidR="008D5D4C" w:rsidRDefault="00C0459C">
      <w:pPr>
        <w:spacing w:line="240" w:lineRule="auto"/>
        <w:ind w:left="-993" w:right="142"/>
        <w:jc w:val="both"/>
        <w:rPr>
          <w:rFonts w:ascii="Arial" w:eastAsia="Arial" w:hAnsi="Arial" w:cs="Arial"/>
          <w:color w:val="595959"/>
          <w:sz w:val="18"/>
          <w:szCs w:val="18"/>
        </w:rPr>
      </w:pPr>
      <w:r>
        <w:rPr>
          <w:rFonts w:ascii="Arial" w:eastAsia="Arial" w:hAnsi="Arial" w:cs="Arial"/>
          <w:color w:val="595959"/>
          <w:sz w:val="18"/>
          <w:szCs w:val="18"/>
        </w:rPr>
        <w:t xml:space="preserve">Su equipo está formado por más de 900 colaboradores a nivel global altamente calificados, con un </w:t>
      </w:r>
      <w:proofErr w:type="spellStart"/>
      <w:r>
        <w:rPr>
          <w:rFonts w:ascii="Arial" w:eastAsia="Arial" w:hAnsi="Arial" w:cs="Arial"/>
          <w:color w:val="595959"/>
          <w:sz w:val="18"/>
          <w:szCs w:val="18"/>
        </w:rPr>
        <w:t>management</w:t>
      </w:r>
      <w:proofErr w:type="spellEnd"/>
      <w:r>
        <w:rPr>
          <w:rFonts w:ascii="Arial" w:eastAsia="Arial" w:hAnsi="Arial" w:cs="Arial"/>
          <w:color w:val="595959"/>
          <w:sz w:val="18"/>
          <w:szCs w:val="18"/>
        </w:rPr>
        <w:t xml:space="preserve"> moderno, integrando 14 nacionalidades en casa matriz, filiales y representaciones comerciales.</w:t>
      </w:r>
    </w:p>
    <w:p w14:paraId="00000010" w14:textId="77777777" w:rsidR="008D5D4C" w:rsidRDefault="00C0459C">
      <w:pPr>
        <w:spacing w:line="240" w:lineRule="auto"/>
        <w:ind w:left="-993" w:right="142"/>
        <w:jc w:val="both"/>
        <w:rPr>
          <w:rFonts w:ascii="Arial" w:eastAsia="Arial" w:hAnsi="Arial" w:cs="Arial"/>
          <w:color w:val="595959"/>
          <w:sz w:val="18"/>
          <w:szCs w:val="18"/>
        </w:rPr>
      </w:pPr>
      <w:r>
        <w:rPr>
          <w:rFonts w:ascii="Arial" w:eastAsia="Arial" w:hAnsi="Arial" w:cs="Arial"/>
          <w:color w:val="595959"/>
          <w:sz w:val="18"/>
          <w:szCs w:val="18"/>
        </w:rPr>
        <w:t>Sus plantas tienen una capacidad productiva de 450 millones de dosis de vacunas para la prevención de diversas enfermedades que afectan la salud de los animales.</w:t>
      </w:r>
    </w:p>
    <w:p w14:paraId="00000011" w14:textId="77777777" w:rsidR="008D5D4C" w:rsidRDefault="00C0459C">
      <w:pPr>
        <w:spacing w:line="240" w:lineRule="auto"/>
        <w:ind w:left="-993" w:right="142"/>
        <w:jc w:val="both"/>
        <w:rPr>
          <w:rFonts w:ascii="Arial" w:eastAsia="Arial" w:hAnsi="Arial" w:cs="Arial"/>
          <w:color w:val="595959"/>
          <w:sz w:val="24"/>
          <w:szCs w:val="24"/>
        </w:rPr>
      </w:pPr>
      <w:r>
        <w:rPr>
          <w:rFonts w:ascii="Arial" w:eastAsia="Arial" w:hAnsi="Arial" w:cs="Arial"/>
          <w:color w:val="595959"/>
          <w:sz w:val="18"/>
          <w:szCs w:val="18"/>
        </w:rPr>
        <w:t xml:space="preserve">Cuenta con 95 productos (vacuna anti aftosa, vacuna antirrábica felina, canina y contra rabia </w:t>
      </w:r>
      <w:proofErr w:type="spellStart"/>
      <w:r>
        <w:rPr>
          <w:rFonts w:ascii="Arial" w:eastAsia="Arial" w:hAnsi="Arial" w:cs="Arial"/>
          <w:color w:val="595959"/>
          <w:sz w:val="18"/>
          <w:szCs w:val="18"/>
        </w:rPr>
        <w:t>paresiante</w:t>
      </w:r>
      <w:proofErr w:type="spellEnd"/>
      <w:r>
        <w:rPr>
          <w:rFonts w:ascii="Arial" w:eastAsia="Arial" w:hAnsi="Arial" w:cs="Arial"/>
          <w:color w:val="595959"/>
          <w:sz w:val="18"/>
          <w:szCs w:val="18"/>
        </w:rPr>
        <w:t>, otros Biológicos, Antiparasitarios, Reproductivos, Intramamarios, Vitaminas y Minerales, Antibióticos y Desinfectantes) y 633 registros de productos de salud animal aprobados en todo el mundo.</w:t>
      </w:r>
    </w:p>
    <w:p w14:paraId="00000012" w14:textId="77777777" w:rsidR="008D5D4C" w:rsidRDefault="00C0459C">
      <w:pPr>
        <w:spacing w:line="240" w:lineRule="auto"/>
        <w:ind w:left="-993" w:right="142"/>
        <w:rPr>
          <w:b/>
          <w:color w:val="0E1B43"/>
          <w:sz w:val="24"/>
          <w:szCs w:val="24"/>
        </w:rPr>
      </w:pPr>
      <w:r>
        <w:rPr>
          <w:b/>
          <w:color w:val="0E1B43"/>
          <w:sz w:val="24"/>
          <w:szCs w:val="24"/>
        </w:rPr>
        <w:t>Contacto:</w:t>
      </w:r>
    </w:p>
    <w:p w14:paraId="00000013" w14:textId="77777777" w:rsidR="008D5D4C" w:rsidRDefault="00C0459C">
      <w:pPr>
        <w:spacing w:after="0" w:line="240" w:lineRule="auto"/>
        <w:ind w:left="-992" w:right="142"/>
        <w:rPr>
          <w:b/>
          <w:sz w:val="24"/>
          <w:szCs w:val="24"/>
        </w:rPr>
      </w:pPr>
      <w:r>
        <w:rPr>
          <w:b/>
          <w:sz w:val="24"/>
          <w:szCs w:val="24"/>
        </w:rPr>
        <w:t>Cecilia Martiren | +54 9 11 2172 7852</w:t>
      </w:r>
    </w:p>
    <w:p w14:paraId="00000014" w14:textId="77777777" w:rsidR="008D5D4C" w:rsidRDefault="00584CFD">
      <w:pPr>
        <w:spacing w:after="0" w:line="240" w:lineRule="auto"/>
        <w:ind w:left="-992" w:right="142"/>
        <w:rPr>
          <w:sz w:val="24"/>
          <w:szCs w:val="24"/>
        </w:rPr>
      </w:pPr>
      <w:hyperlink r:id="rId7">
        <w:r w:rsidR="00C0459C">
          <w:t>Cecilia.Martiren@biogenesisbago.com</w:t>
        </w:r>
      </w:hyperlink>
    </w:p>
    <w:p w14:paraId="00000015" w14:textId="77777777" w:rsidR="008D5D4C" w:rsidRDefault="008D5D4C">
      <w:pPr>
        <w:spacing w:after="0" w:line="240" w:lineRule="auto"/>
        <w:ind w:left="-993" w:right="142"/>
        <w:rPr>
          <w:b/>
          <w:sz w:val="24"/>
          <w:szCs w:val="24"/>
        </w:rPr>
      </w:pPr>
    </w:p>
    <w:p w14:paraId="00000016" w14:textId="77777777" w:rsidR="008D5D4C" w:rsidRDefault="00C0459C">
      <w:pPr>
        <w:spacing w:line="240" w:lineRule="auto"/>
        <w:ind w:left="-993" w:right="142"/>
        <w:rPr>
          <w:sz w:val="24"/>
          <w:szCs w:val="24"/>
        </w:rPr>
      </w:pPr>
      <w:r>
        <w:rPr>
          <w:b/>
          <w:sz w:val="24"/>
          <w:szCs w:val="24"/>
        </w:rPr>
        <w:t>Sofía Duggan</w:t>
      </w:r>
      <w:r>
        <w:rPr>
          <w:sz w:val="24"/>
          <w:szCs w:val="24"/>
        </w:rPr>
        <w:t xml:space="preserve"> | </w:t>
      </w:r>
      <w:r>
        <w:rPr>
          <w:b/>
          <w:sz w:val="24"/>
          <w:szCs w:val="24"/>
        </w:rPr>
        <w:t>+54 9 11 5001-1660</w:t>
      </w:r>
      <w:r>
        <w:rPr>
          <w:sz w:val="24"/>
          <w:szCs w:val="24"/>
        </w:rPr>
        <w:br/>
        <w:t xml:space="preserve">Sofia.Duggan@biogenesisbago.com </w:t>
      </w:r>
    </w:p>
    <w:p w14:paraId="00000017" w14:textId="77777777" w:rsidR="008D5D4C" w:rsidRDefault="00584CFD">
      <w:pPr>
        <w:spacing w:line="240" w:lineRule="auto"/>
        <w:ind w:left="-993" w:right="142"/>
        <w:rPr>
          <w:color w:val="0E1B43"/>
          <w:sz w:val="24"/>
          <w:szCs w:val="24"/>
        </w:rPr>
      </w:pPr>
      <w:hyperlink r:id="rId8">
        <w:r w:rsidR="00C0459C">
          <w:rPr>
            <w:color w:val="1155CC"/>
            <w:sz w:val="24"/>
            <w:szCs w:val="24"/>
            <w:u w:val="single"/>
          </w:rPr>
          <w:t>www.biogenesisbago.com</w:t>
        </w:r>
      </w:hyperlink>
    </w:p>
    <w:p w14:paraId="00000018" w14:textId="77777777" w:rsidR="008D5D4C" w:rsidRDefault="008D5D4C">
      <w:pPr>
        <w:spacing w:line="240" w:lineRule="auto"/>
        <w:ind w:left="-993" w:right="142"/>
        <w:rPr>
          <w:b/>
          <w:color w:val="0E1B43"/>
          <w:sz w:val="24"/>
          <w:szCs w:val="24"/>
        </w:rPr>
      </w:pPr>
    </w:p>
    <w:p w14:paraId="00000019" w14:textId="77777777" w:rsidR="008D5D4C" w:rsidRDefault="008D5D4C">
      <w:pPr>
        <w:spacing w:line="240" w:lineRule="auto"/>
        <w:ind w:left="-993" w:right="142"/>
        <w:rPr>
          <w:color w:val="0E1B43"/>
          <w:sz w:val="24"/>
          <w:szCs w:val="24"/>
        </w:rPr>
      </w:pPr>
    </w:p>
    <w:sectPr w:rsidR="008D5D4C">
      <w:headerReference w:type="default" r:id="rId9"/>
      <w:footerReference w:type="default" r:id="rId10"/>
      <w:pgSz w:w="11900" w:h="16840"/>
      <w:pgMar w:top="1417" w:right="1268" w:bottom="1970" w:left="2127" w:header="708" w:footer="1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5412" w14:textId="77777777" w:rsidR="00584CFD" w:rsidRDefault="00584CFD">
      <w:pPr>
        <w:spacing w:after="0" w:line="240" w:lineRule="auto"/>
      </w:pPr>
      <w:r>
        <w:separator/>
      </w:r>
    </w:p>
  </w:endnote>
  <w:endnote w:type="continuationSeparator" w:id="0">
    <w:p w14:paraId="4B09F3E8" w14:textId="77777777" w:rsidR="00584CFD" w:rsidRDefault="0058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8D5D4C" w:rsidRDefault="00C0459C">
    <w:pPr>
      <w:pBdr>
        <w:top w:val="nil"/>
        <w:left w:val="nil"/>
        <w:bottom w:val="nil"/>
        <w:right w:val="nil"/>
        <w:between w:val="nil"/>
      </w:pBdr>
      <w:spacing w:after="0" w:line="240" w:lineRule="auto"/>
      <w:rPr>
        <w:color w:val="000000"/>
      </w:rPr>
    </w:pPr>
    <w:r>
      <w:rPr>
        <w:noProof/>
      </w:rPr>
      <w:drawing>
        <wp:anchor distT="0" distB="0" distL="114300" distR="114300" simplePos="0" relativeHeight="251659264" behindDoc="0" locked="0" layoutInCell="1" hidden="0" allowOverlap="1" wp14:anchorId="46C9D865" wp14:editId="487F72CF">
          <wp:simplePos x="0" y="0"/>
          <wp:positionH relativeFrom="column">
            <wp:posOffset>-768343</wp:posOffset>
          </wp:positionH>
          <wp:positionV relativeFrom="paragraph">
            <wp:posOffset>-826130</wp:posOffset>
          </wp:positionV>
          <wp:extent cx="6155690" cy="46609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55690" cy="466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3B40" w14:textId="77777777" w:rsidR="00584CFD" w:rsidRDefault="00584CFD">
      <w:pPr>
        <w:spacing w:after="0" w:line="240" w:lineRule="auto"/>
      </w:pPr>
      <w:r>
        <w:separator/>
      </w:r>
    </w:p>
  </w:footnote>
  <w:footnote w:type="continuationSeparator" w:id="0">
    <w:p w14:paraId="1A11B9D0" w14:textId="77777777" w:rsidR="00584CFD" w:rsidRDefault="0058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8D5D4C" w:rsidRDefault="00C0459C">
    <w:pPr>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hidden="0" allowOverlap="1" wp14:anchorId="27663ED4" wp14:editId="1885242F">
          <wp:simplePos x="0" y="0"/>
          <wp:positionH relativeFrom="column">
            <wp:posOffset>-628645</wp:posOffset>
          </wp:positionH>
          <wp:positionV relativeFrom="paragraph">
            <wp:posOffset>-6980</wp:posOffset>
          </wp:positionV>
          <wp:extent cx="6144895" cy="71882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44895" cy="718820"/>
                  </a:xfrm>
                  <a:prstGeom prst="rect">
                    <a:avLst/>
                  </a:prstGeom>
                  <a:ln/>
                </pic:spPr>
              </pic:pic>
            </a:graphicData>
          </a:graphic>
        </wp:anchor>
      </w:drawing>
    </w:r>
  </w:p>
  <w:p w14:paraId="0000001B" w14:textId="77777777" w:rsidR="008D5D4C" w:rsidRDefault="008D5D4C">
    <w:pPr>
      <w:pBdr>
        <w:top w:val="nil"/>
        <w:left w:val="nil"/>
        <w:bottom w:val="nil"/>
        <w:right w:val="nil"/>
        <w:between w:val="nil"/>
      </w:pBdr>
      <w:spacing w:after="0" w:line="240" w:lineRule="auto"/>
    </w:pPr>
  </w:p>
  <w:p w14:paraId="0000001C" w14:textId="77777777" w:rsidR="008D5D4C" w:rsidRDefault="008D5D4C">
    <w:pPr>
      <w:pBdr>
        <w:top w:val="nil"/>
        <w:left w:val="nil"/>
        <w:bottom w:val="nil"/>
        <w:right w:val="nil"/>
        <w:between w:val="nil"/>
      </w:pBdr>
      <w:spacing w:after="0" w:line="240" w:lineRule="auto"/>
    </w:pPr>
  </w:p>
  <w:p w14:paraId="0000001D" w14:textId="77777777" w:rsidR="008D5D4C" w:rsidRDefault="008D5D4C">
    <w:pPr>
      <w:pBdr>
        <w:top w:val="nil"/>
        <w:left w:val="nil"/>
        <w:bottom w:val="nil"/>
        <w:right w:val="nil"/>
        <w:between w:val="nil"/>
      </w:pBdr>
      <w:spacing w:after="0" w:line="240" w:lineRule="auto"/>
    </w:pPr>
  </w:p>
  <w:p w14:paraId="0000001E" w14:textId="77777777" w:rsidR="008D5D4C" w:rsidRDefault="008D5D4C">
    <w:pPr>
      <w:pBdr>
        <w:top w:val="nil"/>
        <w:left w:val="nil"/>
        <w:bottom w:val="nil"/>
        <w:right w:val="nil"/>
        <w:between w:val="nil"/>
      </w:pBd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4C"/>
    <w:rsid w:val="003E5B34"/>
    <w:rsid w:val="00584CFD"/>
    <w:rsid w:val="00656EB3"/>
    <w:rsid w:val="008D5D4C"/>
    <w:rsid w:val="00C045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FBBF"/>
  <w15:docId w15:val="{C705B3DE-AA8B-48A5-AC03-DD102F3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rsid w:val="00405EE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121CED"/>
    <w:rPr>
      <w:color w:val="0000FF" w:themeColor="hyperlink"/>
      <w:u w:val="single"/>
    </w:rPr>
  </w:style>
  <w:style w:type="character" w:styleId="Mencinsinresolver">
    <w:name w:val="Unresolved Mention"/>
    <w:basedOn w:val="Fuentedeprrafopredeter"/>
    <w:uiPriority w:val="99"/>
    <w:semiHidden/>
    <w:unhideWhenUsed/>
    <w:rsid w:val="00121CED"/>
    <w:rPr>
      <w:color w:val="605E5C"/>
      <w:shd w:val="clear" w:color="auto" w:fill="E1DFDD"/>
    </w:rPr>
  </w:style>
  <w:style w:type="paragraph" w:styleId="NormalWeb">
    <w:name w:val="Normal (Web)"/>
    <w:basedOn w:val="Normal"/>
    <w:uiPriority w:val="99"/>
    <w:semiHidden/>
    <w:unhideWhenUsed/>
    <w:rsid w:val="006120C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F6570"/>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32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238B6"/>
  </w:style>
  <w:style w:type="paragraph" w:styleId="Piedepgina">
    <w:name w:val="footer"/>
    <w:basedOn w:val="Normal"/>
    <w:link w:val="PiedepginaCar"/>
    <w:uiPriority w:val="99"/>
    <w:semiHidden/>
    <w:unhideWhenUsed/>
    <w:rsid w:val="0032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238B6"/>
  </w:style>
  <w:style w:type="table" w:customStyle="1" w:styleId="TableNormal1">
    <w:name w:val="Table Normal1"/>
    <w:rsid w:val="003238B6"/>
    <w:tblPr>
      <w:tblCellMar>
        <w:top w:w="0" w:type="dxa"/>
        <w:left w:w="0" w:type="dxa"/>
        <w:bottom w:w="0" w:type="dxa"/>
        <w:right w:w="0" w:type="dxa"/>
      </w:tblCellMar>
    </w:tblPr>
  </w:style>
  <w:style w:type="table" w:customStyle="1" w:styleId="TableNormal2">
    <w:name w:val="Table Normal2"/>
    <w:rsid w:val="003238B6"/>
    <w:tblPr>
      <w:tblCellMar>
        <w:top w:w="0" w:type="dxa"/>
        <w:left w:w="0" w:type="dxa"/>
        <w:bottom w:w="0" w:type="dxa"/>
        <w:right w:w="0" w:type="dxa"/>
      </w:tblCellMar>
    </w:tblPr>
  </w:style>
  <w:style w:type="table" w:customStyle="1" w:styleId="TableNormal3">
    <w:name w:val="Table Normal3"/>
    <w:rsid w:val="003238B6"/>
    <w:tblPr>
      <w:tblCellMar>
        <w:top w:w="0" w:type="dxa"/>
        <w:left w:w="0" w:type="dxa"/>
        <w:bottom w:w="0" w:type="dxa"/>
        <w:right w:w="0" w:type="dxa"/>
      </w:tblCellMar>
    </w:tblPr>
  </w:style>
  <w:style w:type="table" w:customStyle="1" w:styleId="TableNormal4">
    <w:name w:val="Table Normal4"/>
    <w:rsid w:val="00405EE4"/>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44C3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4C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iogenesisbago.com" TargetMode="External"/><Relationship Id="rId3" Type="http://schemas.openxmlformats.org/officeDocument/2006/relationships/settings" Target="settings.xml"/><Relationship Id="rId7" Type="http://schemas.openxmlformats.org/officeDocument/2006/relationships/hyperlink" Target="mailto:Cecilia.Martiren@biogenesisba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4/8GS+s06yIy9xjSmvo2YONJA==">AMUW2mWvAn4GhhRGwsSGMY+oYESH9/Q5rWnTAjl4FedvwFuj4WnrHgT3xVlEpA0DRU9uOJ1c8IzvmBh3ZKwU+HwARpGjdujQNXLZMAXem/E+fIdXnlU+x4U=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Martiren</dc:creator>
  <cp:lastModifiedBy>Catalina Rodríguez Vega</cp:lastModifiedBy>
  <cp:revision>3</cp:revision>
  <dcterms:created xsi:type="dcterms:W3CDTF">2021-06-17T22:20:00Z</dcterms:created>
  <dcterms:modified xsi:type="dcterms:W3CDTF">2021-06-21T13:43:00Z</dcterms:modified>
</cp:coreProperties>
</file>