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A0CA2" w14:textId="4AC2034C" w:rsidR="000D76DD" w:rsidRPr="00B443C5" w:rsidRDefault="00D432D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199"/>
        </w:tabs>
        <w:spacing w:line="240" w:lineRule="auto"/>
        <w:rPr>
          <w:rFonts w:ascii="Arial" w:eastAsia="BBVABentonSans" w:hAnsi="Arial"/>
          <w:color w:val="072146"/>
          <w:sz w:val="32"/>
          <w:szCs w:val="32"/>
          <w:lang w:val="es-419"/>
        </w:rPr>
      </w:pPr>
      <w:r w:rsidRPr="00B443C5">
        <w:rPr>
          <w:rFonts w:ascii="Arial" w:eastAsia="BBVABentonSans" w:hAnsi="Arial"/>
          <w:color w:val="072146"/>
          <w:sz w:val="32"/>
          <w:szCs w:val="32"/>
          <w:lang w:val="es-419"/>
        </w:rPr>
        <w:t>Con este producto se beneficiarían unos 7.500 proveedores</w:t>
      </w:r>
    </w:p>
    <w:p w14:paraId="7E37E3FD" w14:textId="6250D2BF" w:rsidR="00184FDB" w:rsidRPr="00B443C5" w:rsidRDefault="00184FDB" w:rsidP="00184FDB">
      <w:pPr>
        <w:widowControl/>
        <w:ind w:right="0"/>
        <w:rPr>
          <w:rFonts w:ascii="Arial" w:eastAsia="BBVABentonSans" w:hAnsi="Arial"/>
          <w:color w:val="02A5A5"/>
          <w:sz w:val="48"/>
          <w:szCs w:val="48"/>
          <w:lang w:val="es-419"/>
        </w:rPr>
      </w:pPr>
      <w:r w:rsidRPr="00B443C5">
        <w:rPr>
          <w:rFonts w:ascii="Arial" w:eastAsia="BBVABentonSans" w:hAnsi="Arial"/>
          <w:color w:val="02A5A5"/>
          <w:sz w:val="48"/>
          <w:szCs w:val="48"/>
          <w:lang w:val="es-419"/>
        </w:rPr>
        <w:t xml:space="preserve">El Grupo Empresarial Argos implementa línea de </w:t>
      </w:r>
      <w:proofErr w:type="spellStart"/>
      <w:r w:rsidR="00BB2982">
        <w:rPr>
          <w:rFonts w:ascii="Arial" w:eastAsia="BBVABentonSans" w:hAnsi="Arial"/>
          <w:color w:val="02A5A5"/>
          <w:sz w:val="48"/>
          <w:szCs w:val="48"/>
          <w:lang w:val="es-419"/>
        </w:rPr>
        <w:t>confirming</w:t>
      </w:r>
      <w:proofErr w:type="spellEnd"/>
      <w:r w:rsidRPr="00B443C5">
        <w:rPr>
          <w:rFonts w:ascii="Arial" w:eastAsia="BBVABentonSans" w:hAnsi="Arial"/>
          <w:color w:val="02A5A5"/>
          <w:sz w:val="48"/>
          <w:szCs w:val="48"/>
          <w:lang w:val="es-419"/>
        </w:rPr>
        <w:t xml:space="preserve"> sostenible con BBVA para apoyar a sus proveedores</w:t>
      </w:r>
    </w:p>
    <w:p w14:paraId="7F5E6E98" w14:textId="77777777" w:rsidR="003D69DF" w:rsidRPr="003D69DF" w:rsidRDefault="003D69DF" w:rsidP="003D69DF">
      <w:pPr>
        <w:pStyle w:val="Prrafodelista"/>
        <w:widowControl/>
        <w:spacing w:before="120" w:line="288" w:lineRule="auto"/>
        <w:ind w:left="357" w:right="0"/>
        <w:rPr>
          <w:rFonts w:ascii="Arial" w:hAnsi="Arial"/>
          <w:lang w:val="es-419"/>
        </w:rPr>
      </w:pPr>
    </w:p>
    <w:p w14:paraId="3BB38DFF" w14:textId="36A0A16E" w:rsidR="00082375" w:rsidRPr="00B443C5" w:rsidRDefault="00184FDB" w:rsidP="009A4D95">
      <w:pPr>
        <w:pStyle w:val="Prrafodelista"/>
        <w:widowControl/>
        <w:numPr>
          <w:ilvl w:val="0"/>
          <w:numId w:val="3"/>
        </w:numPr>
        <w:spacing w:before="120" w:line="288" w:lineRule="auto"/>
        <w:ind w:left="357" w:right="0" w:hanging="357"/>
        <w:rPr>
          <w:rFonts w:ascii="Arial" w:hAnsi="Arial"/>
          <w:lang w:val="es-419"/>
        </w:rPr>
      </w:pPr>
      <w:r w:rsidRPr="00B443C5">
        <w:rPr>
          <w:rFonts w:ascii="Arial" w:hAnsi="Arial"/>
          <w:b/>
          <w:color w:val="02A5A5"/>
          <w:lang w:val="es-419"/>
        </w:rPr>
        <w:t xml:space="preserve">Esta iniciativa beneficiará a más de 7.500 micro, pequeñas y medianas empresas colombianas. </w:t>
      </w:r>
    </w:p>
    <w:p w14:paraId="787DEB50" w14:textId="77777777" w:rsidR="00184FDB" w:rsidRPr="00B443C5" w:rsidRDefault="00184FDB" w:rsidP="009A4D95">
      <w:pPr>
        <w:pStyle w:val="Prrafodelista"/>
        <w:numPr>
          <w:ilvl w:val="0"/>
          <w:numId w:val="3"/>
        </w:numPr>
        <w:spacing w:before="120" w:line="288" w:lineRule="auto"/>
        <w:ind w:left="357" w:hanging="357"/>
        <w:rPr>
          <w:rFonts w:ascii="Arial" w:eastAsiaTheme="minorHAnsi" w:hAnsi="Arial"/>
          <w:color w:val="auto"/>
          <w:szCs w:val="22"/>
          <w:lang w:val="es-419" w:eastAsia="en-US"/>
        </w:rPr>
      </w:pPr>
      <w:r w:rsidRPr="00B443C5">
        <w:rPr>
          <w:rFonts w:ascii="Arial" w:hAnsi="Arial"/>
          <w:b/>
          <w:color w:val="02A5A5"/>
          <w:lang w:val="es-419"/>
        </w:rPr>
        <w:t>Cerca del 84% de los 9.000 proveedores del Grupo Empresarial Argos en</w:t>
      </w:r>
      <w:r w:rsidRPr="00B443C5">
        <w:rPr>
          <w:rFonts w:ascii="Arial" w:hAnsi="Arial"/>
          <w:color w:val="02A5A5"/>
          <w:lang w:val="es-419"/>
        </w:rPr>
        <w:t xml:space="preserve"> </w:t>
      </w:r>
      <w:r w:rsidRPr="00B443C5">
        <w:rPr>
          <w:rFonts w:ascii="Arial" w:hAnsi="Arial"/>
          <w:b/>
          <w:color w:val="02A5A5"/>
          <w:lang w:val="es-419"/>
        </w:rPr>
        <w:t>Colombia</w:t>
      </w:r>
      <w:r w:rsidR="00082375" w:rsidRPr="00B443C5">
        <w:rPr>
          <w:rFonts w:ascii="Arial" w:hAnsi="Arial"/>
          <w:b/>
          <w:color w:val="02A5A5"/>
          <w:lang w:val="es-419"/>
        </w:rPr>
        <w:t xml:space="preserve"> </w:t>
      </w:r>
      <w:r w:rsidRPr="00B443C5">
        <w:rPr>
          <w:rFonts w:ascii="Arial" w:eastAsiaTheme="minorHAnsi" w:hAnsi="Arial"/>
          <w:color w:val="auto"/>
          <w:szCs w:val="22"/>
          <w:lang w:val="es-419" w:eastAsia="en-US"/>
        </w:rPr>
        <w:t xml:space="preserve">son </w:t>
      </w:r>
      <w:proofErr w:type="spellStart"/>
      <w:r w:rsidRPr="00B443C5">
        <w:rPr>
          <w:rFonts w:ascii="Arial" w:eastAsiaTheme="minorHAnsi" w:hAnsi="Arial"/>
          <w:color w:val="auto"/>
          <w:szCs w:val="22"/>
          <w:lang w:val="es-419" w:eastAsia="en-US"/>
        </w:rPr>
        <w:t>mipymes</w:t>
      </w:r>
      <w:proofErr w:type="spellEnd"/>
      <w:r w:rsidRPr="00B443C5">
        <w:rPr>
          <w:rFonts w:ascii="Arial" w:eastAsiaTheme="minorHAnsi" w:hAnsi="Arial"/>
          <w:color w:val="auto"/>
          <w:szCs w:val="22"/>
          <w:lang w:val="es-419" w:eastAsia="en-US"/>
        </w:rPr>
        <w:t>, sector especialmente afectado por la pandemia.</w:t>
      </w:r>
    </w:p>
    <w:p w14:paraId="0ECFB078" w14:textId="1E2399BF" w:rsidR="00184FDB" w:rsidRPr="00B443C5" w:rsidRDefault="00184FDB" w:rsidP="009A4D95">
      <w:pPr>
        <w:pStyle w:val="Prrafodelista"/>
        <w:numPr>
          <w:ilvl w:val="0"/>
          <w:numId w:val="3"/>
        </w:numPr>
        <w:spacing w:before="120" w:line="288" w:lineRule="auto"/>
        <w:ind w:left="357" w:hanging="357"/>
        <w:rPr>
          <w:rFonts w:ascii="Arial" w:eastAsiaTheme="minorHAnsi" w:hAnsi="Arial"/>
          <w:color w:val="auto"/>
          <w:szCs w:val="22"/>
          <w:lang w:val="es-419" w:eastAsia="en-US"/>
        </w:rPr>
      </w:pPr>
      <w:r w:rsidRPr="00B443C5">
        <w:rPr>
          <w:rFonts w:ascii="Arial" w:hAnsi="Arial"/>
          <w:b/>
          <w:color w:val="02A5A5"/>
          <w:lang w:val="es-419"/>
        </w:rPr>
        <w:t xml:space="preserve">Esta línea de beneficios construida con el BBVA hace parte del programa Creamos Valor Social que el Grupo Empresarial Argos </w:t>
      </w:r>
      <w:r w:rsidRPr="00B443C5">
        <w:rPr>
          <w:rFonts w:ascii="Arial" w:hAnsi="Arial"/>
          <w:color w:val="auto"/>
          <w:lang w:val="es-419"/>
        </w:rPr>
        <w:t>puso en marcha para impulsar la reactivación económica apoyando a sus proveedores, con la generación de empleo y con programas de impacto social.</w:t>
      </w:r>
    </w:p>
    <w:p w14:paraId="7698757A" w14:textId="0F7C3B2F" w:rsidR="00184FDB" w:rsidRPr="00B443C5" w:rsidRDefault="00184FDB" w:rsidP="00082375">
      <w:pPr>
        <w:rPr>
          <w:rFonts w:ascii="Arial" w:eastAsia="BBVABentonSans" w:hAnsi="Arial"/>
          <w:color w:val="121212"/>
          <w:lang w:val="es-419"/>
        </w:rPr>
      </w:pPr>
      <w:r w:rsidRPr="00B443C5">
        <w:rPr>
          <w:rFonts w:ascii="Arial" w:eastAsia="BBVABentonSans" w:hAnsi="Arial"/>
          <w:color w:val="121212"/>
          <w:lang w:val="es-419"/>
        </w:rPr>
        <w:t xml:space="preserve">Grupo Argos y sus empresas, Cementos Argos, </w:t>
      </w:r>
      <w:proofErr w:type="spellStart"/>
      <w:r w:rsidRPr="00B443C5">
        <w:rPr>
          <w:rFonts w:ascii="Arial" w:eastAsia="BBVABentonSans" w:hAnsi="Arial"/>
          <w:color w:val="121212"/>
          <w:lang w:val="es-419"/>
        </w:rPr>
        <w:t>Celsia</w:t>
      </w:r>
      <w:proofErr w:type="spellEnd"/>
      <w:r w:rsidRPr="00B443C5">
        <w:rPr>
          <w:rFonts w:ascii="Arial" w:eastAsia="BBVABentonSans" w:hAnsi="Arial"/>
          <w:color w:val="121212"/>
          <w:lang w:val="es-419"/>
        </w:rPr>
        <w:t xml:space="preserve"> y </w:t>
      </w:r>
      <w:proofErr w:type="spellStart"/>
      <w:r w:rsidRPr="00B443C5">
        <w:rPr>
          <w:rFonts w:ascii="Arial" w:eastAsia="BBVABentonSans" w:hAnsi="Arial"/>
          <w:color w:val="121212"/>
          <w:lang w:val="es-419"/>
        </w:rPr>
        <w:t>Odinsa</w:t>
      </w:r>
      <w:proofErr w:type="spellEnd"/>
      <w:r w:rsidRPr="00B443C5">
        <w:rPr>
          <w:rFonts w:ascii="Arial" w:eastAsia="BBVABentonSans" w:hAnsi="Arial"/>
          <w:color w:val="121212"/>
          <w:lang w:val="es-419"/>
        </w:rPr>
        <w:t xml:space="preserve">, diseñaron una línea de </w:t>
      </w:r>
      <w:proofErr w:type="spellStart"/>
      <w:r w:rsidR="00BB2982">
        <w:rPr>
          <w:rFonts w:ascii="Arial" w:eastAsia="BBVABentonSans" w:hAnsi="Arial"/>
          <w:color w:val="121212"/>
          <w:lang w:val="es-419"/>
        </w:rPr>
        <w:t>confirming</w:t>
      </w:r>
      <w:proofErr w:type="spellEnd"/>
      <w:r w:rsidRPr="00B443C5">
        <w:rPr>
          <w:rFonts w:ascii="Arial" w:eastAsia="BBVABentonSans" w:hAnsi="Arial"/>
          <w:color w:val="121212"/>
          <w:lang w:val="es-419"/>
        </w:rPr>
        <w:t xml:space="preserve"> sostenible para sus proveedores en alianza con el BBVA, que les permitirá a los proveedores descontar sus facturas a una tasa preferencial, mejorando su flujo de caja para afrontar con mayor flexibilidad el 2021.  </w:t>
      </w:r>
    </w:p>
    <w:p w14:paraId="0142E428" w14:textId="77777777" w:rsidR="00184FDB" w:rsidRPr="00B443C5" w:rsidRDefault="00184FDB" w:rsidP="00082375">
      <w:pPr>
        <w:rPr>
          <w:rFonts w:ascii="Arial" w:hAnsi="Arial"/>
          <w:color w:val="4D4D4D" w:themeColor="background2" w:themeTint="BF"/>
          <w:lang w:val="es-419"/>
        </w:rPr>
      </w:pPr>
      <w:r w:rsidRPr="00B443C5">
        <w:rPr>
          <w:rFonts w:ascii="Arial" w:hAnsi="Arial"/>
          <w:color w:val="4D4D4D" w:themeColor="background2" w:themeTint="BF"/>
          <w:lang w:val="es-419"/>
        </w:rPr>
        <w:t xml:space="preserve">Con este proyecto se pone a disposición de los proveedores un instrumento financiero con opciones más diversas y que se ajusten mejor a sus necesidades, pues les permite contar con capital de trabajo para operar, cumplir con sus obligaciones financieras y acceder a los beneficios de la bancarización. Cabe resaltar que alrededor del 84% de los proveedores del Grupo Empresarial en Colombia, hacen parte del segmento de las </w:t>
      </w:r>
      <w:proofErr w:type="spellStart"/>
      <w:r w:rsidRPr="00B443C5">
        <w:rPr>
          <w:rFonts w:ascii="Arial" w:hAnsi="Arial"/>
          <w:color w:val="4D4D4D" w:themeColor="background2" w:themeTint="BF"/>
          <w:lang w:val="es-419"/>
        </w:rPr>
        <w:t>mipymes</w:t>
      </w:r>
      <w:proofErr w:type="spellEnd"/>
      <w:r w:rsidRPr="00B443C5">
        <w:rPr>
          <w:rFonts w:ascii="Arial" w:hAnsi="Arial"/>
          <w:color w:val="4D4D4D" w:themeColor="background2" w:themeTint="BF"/>
          <w:lang w:val="es-419"/>
        </w:rPr>
        <w:t>, que a su vez generan empleo para más de 110.000 colombianos.</w:t>
      </w:r>
    </w:p>
    <w:p w14:paraId="5369B254" w14:textId="28952FE2" w:rsidR="00184FDB" w:rsidRPr="00B443C5" w:rsidRDefault="009A4D95" w:rsidP="00184FDB">
      <w:pPr>
        <w:rPr>
          <w:rFonts w:ascii="Arial" w:hAnsi="Arial"/>
          <w:color w:val="4D4D4D" w:themeColor="background2" w:themeTint="BF"/>
          <w:lang w:val="es-419"/>
        </w:rPr>
      </w:pPr>
      <w:r w:rsidRPr="009A4D95">
        <w:rPr>
          <w:rFonts w:ascii="Arial" w:hAnsi="Arial" w:hint="cs"/>
          <w:color w:val="4D4D4D" w:themeColor="background2" w:themeTint="BF"/>
          <w:lang w:val="es-419"/>
        </w:rPr>
        <w:t>“</w:t>
      </w:r>
      <w:r w:rsidRPr="009A4D95">
        <w:rPr>
          <w:rFonts w:ascii="Arial" w:hAnsi="Arial"/>
          <w:color w:val="4D4D4D" w:themeColor="background2" w:themeTint="BF"/>
          <w:lang w:val="es-419"/>
        </w:rPr>
        <w:t>Nos llena de satisfacci</w:t>
      </w:r>
      <w:r w:rsidRPr="009A4D95">
        <w:rPr>
          <w:rFonts w:ascii="Arial" w:hAnsi="Arial" w:hint="cs"/>
          <w:color w:val="4D4D4D" w:themeColor="background2" w:themeTint="BF"/>
          <w:lang w:val="es-419"/>
        </w:rPr>
        <w:t>ó</w:t>
      </w:r>
      <w:r w:rsidRPr="009A4D95">
        <w:rPr>
          <w:rFonts w:ascii="Arial" w:hAnsi="Arial"/>
          <w:color w:val="4D4D4D" w:themeColor="background2" w:themeTint="BF"/>
          <w:lang w:val="es-419"/>
        </w:rPr>
        <w:t>n haber podido estructurar con el BBVA un mecanismo que asegure liquidez y mejores costos de financiaci</w:t>
      </w:r>
      <w:r w:rsidRPr="009A4D95">
        <w:rPr>
          <w:rFonts w:ascii="Arial" w:hAnsi="Arial" w:hint="cs"/>
          <w:color w:val="4D4D4D" w:themeColor="background2" w:themeTint="BF"/>
          <w:lang w:val="es-419"/>
        </w:rPr>
        <w:t>ó</w:t>
      </w:r>
      <w:r w:rsidRPr="009A4D95">
        <w:rPr>
          <w:rFonts w:ascii="Arial" w:hAnsi="Arial"/>
          <w:color w:val="4D4D4D" w:themeColor="background2" w:themeTint="BF"/>
          <w:lang w:val="es-419"/>
        </w:rPr>
        <w:t>n a nuestros m</w:t>
      </w:r>
      <w:r w:rsidRPr="009A4D95">
        <w:rPr>
          <w:rFonts w:ascii="Arial" w:hAnsi="Arial" w:hint="cs"/>
          <w:color w:val="4D4D4D" w:themeColor="background2" w:themeTint="BF"/>
          <w:lang w:val="es-419"/>
        </w:rPr>
        <w:t>á</w:t>
      </w:r>
      <w:r w:rsidRPr="009A4D95">
        <w:rPr>
          <w:rFonts w:ascii="Arial" w:hAnsi="Arial"/>
          <w:color w:val="4D4D4D" w:themeColor="background2" w:themeTint="BF"/>
          <w:lang w:val="es-419"/>
        </w:rPr>
        <w:t>s de 9.000 peque</w:t>
      </w:r>
      <w:r w:rsidRPr="009A4D95">
        <w:rPr>
          <w:rFonts w:ascii="Arial" w:hAnsi="Arial" w:hint="cs"/>
          <w:color w:val="4D4D4D" w:themeColor="background2" w:themeTint="BF"/>
          <w:lang w:val="es-419"/>
        </w:rPr>
        <w:t>ñ</w:t>
      </w:r>
      <w:r w:rsidRPr="009A4D95">
        <w:rPr>
          <w:rFonts w:ascii="Arial" w:hAnsi="Arial"/>
          <w:color w:val="4D4D4D" w:themeColor="background2" w:themeTint="BF"/>
          <w:lang w:val="es-419"/>
        </w:rPr>
        <w:t>os y medianos proveedores del Grupo Empresarial Argos. Esta es una iniciativa para fortalecer el tejido empresarial, lo que a su vez se reflejar</w:t>
      </w:r>
      <w:r w:rsidRPr="009A4D95">
        <w:rPr>
          <w:rFonts w:ascii="Arial" w:hAnsi="Arial" w:hint="cs"/>
          <w:color w:val="4D4D4D" w:themeColor="background2" w:themeTint="BF"/>
          <w:lang w:val="es-419"/>
        </w:rPr>
        <w:t>á</w:t>
      </w:r>
      <w:r w:rsidRPr="009A4D95">
        <w:rPr>
          <w:rFonts w:ascii="Arial" w:hAnsi="Arial"/>
          <w:color w:val="4D4D4D" w:themeColor="background2" w:themeTint="BF"/>
          <w:lang w:val="es-419"/>
        </w:rPr>
        <w:t xml:space="preserve"> en mejores posibilidades de crecimiento y empleo</w:t>
      </w:r>
      <w:r w:rsidR="00184FDB" w:rsidRPr="00B443C5">
        <w:rPr>
          <w:rFonts w:ascii="Arial" w:hAnsi="Arial"/>
          <w:color w:val="4D4D4D" w:themeColor="background2" w:themeTint="BF"/>
          <w:lang w:val="es-419"/>
        </w:rPr>
        <w:t>”, aseguró Jorge Mario Velásquez</w:t>
      </w:r>
      <w:r>
        <w:rPr>
          <w:rFonts w:ascii="Arial" w:hAnsi="Arial"/>
          <w:color w:val="4D4D4D" w:themeColor="background2" w:themeTint="BF"/>
          <w:lang w:val="es-419"/>
        </w:rPr>
        <w:t>,</w:t>
      </w:r>
      <w:r w:rsidR="00184FDB" w:rsidRPr="00B443C5">
        <w:rPr>
          <w:rFonts w:ascii="Arial" w:hAnsi="Arial"/>
          <w:color w:val="4D4D4D" w:themeColor="background2" w:themeTint="BF"/>
          <w:lang w:val="es-419"/>
        </w:rPr>
        <w:t xml:space="preserve"> Presidente de Grupo Argos.</w:t>
      </w:r>
    </w:p>
    <w:p w14:paraId="5E055694" w14:textId="3D629286" w:rsidR="00184FDB" w:rsidRPr="00B443C5" w:rsidRDefault="00184FDB" w:rsidP="00184FDB">
      <w:pPr>
        <w:rPr>
          <w:rFonts w:ascii="Arial" w:hAnsi="Arial"/>
          <w:color w:val="4D4D4D" w:themeColor="background2" w:themeTint="BF"/>
          <w:lang w:val="es-419"/>
        </w:rPr>
      </w:pPr>
      <w:r w:rsidRPr="00B443C5">
        <w:rPr>
          <w:rFonts w:ascii="Arial" w:hAnsi="Arial"/>
          <w:color w:val="4D4D4D" w:themeColor="background2" w:themeTint="BF"/>
          <w:lang w:val="es-419"/>
        </w:rPr>
        <w:t xml:space="preserve">Por su parte, Mario Pardo presidente Ejecutivo de BBVA en Colombia, comentó que “esta línea de </w:t>
      </w:r>
      <w:proofErr w:type="spellStart"/>
      <w:r w:rsidR="00BB2982">
        <w:rPr>
          <w:rFonts w:ascii="Arial" w:hAnsi="Arial"/>
          <w:color w:val="4D4D4D" w:themeColor="background2" w:themeTint="BF"/>
          <w:lang w:val="es-419"/>
        </w:rPr>
        <w:t>confirming</w:t>
      </w:r>
      <w:proofErr w:type="spellEnd"/>
      <w:r w:rsidRPr="00B443C5">
        <w:rPr>
          <w:rFonts w:ascii="Arial" w:hAnsi="Arial"/>
          <w:color w:val="4D4D4D" w:themeColor="background2" w:themeTint="BF"/>
          <w:lang w:val="es-419"/>
        </w:rPr>
        <w:t xml:space="preserve"> sostenible que anunciamos con Grupo Argos se constituye en un hito muy importante en BBV</w:t>
      </w:r>
      <w:r w:rsidR="00BB2982">
        <w:rPr>
          <w:rFonts w:ascii="Arial" w:hAnsi="Arial"/>
          <w:color w:val="4D4D4D" w:themeColor="background2" w:themeTint="BF"/>
          <w:lang w:val="es-419"/>
        </w:rPr>
        <w:t>A, ya que permite vincular a un</w:t>
      </w:r>
      <w:r w:rsidRPr="00B443C5">
        <w:rPr>
          <w:rFonts w:ascii="Arial" w:hAnsi="Arial"/>
          <w:color w:val="4D4D4D" w:themeColor="background2" w:themeTint="BF"/>
          <w:lang w:val="es-419"/>
        </w:rPr>
        <w:t xml:space="preserve"> gran </w:t>
      </w:r>
      <w:r w:rsidR="00BB2982">
        <w:rPr>
          <w:rFonts w:ascii="Arial" w:hAnsi="Arial"/>
          <w:color w:val="4D4D4D" w:themeColor="background2" w:themeTint="BF"/>
          <w:lang w:val="es-419"/>
        </w:rPr>
        <w:t>grupo empresarial colombiano</w:t>
      </w:r>
      <w:r w:rsidRPr="00B443C5">
        <w:rPr>
          <w:rFonts w:ascii="Arial" w:hAnsi="Arial"/>
          <w:color w:val="4D4D4D" w:themeColor="background2" w:themeTint="BF"/>
          <w:lang w:val="es-419"/>
        </w:rPr>
        <w:t xml:space="preserve"> con los compromisos de sostenibilidad de cara a sus proveedores. El </w:t>
      </w:r>
      <w:proofErr w:type="spellStart"/>
      <w:r w:rsidR="00BB2982">
        <w:rPr>
          <w:rFonts w:ascii="Arial" w:hAnsi="Arial"/>
          <w:color w:val="4D4D4D" w:themeColor="background2" w:themeTint="BF"/>
          <w:lang w:val="es-419"/>
        </w:rPr>
        <w:t>confirming</w:t>
      </w:r>
      <w:proofErr w:type="spellEnd"/>
      <w:r w:rsidRPr="00B443C5">
        <w:rPr>
          <w:rFonts w:ascii="Arial" w:hAnsi="Arial"/>
          <w:color w:val="4D4D4D" w:themeColor="background2" w:themeTint="BF"/>
          <w:lang w:val="es-419"/>
        </w:rPr>
        <w:t xml:space="preserve"> sostenible es la mejor </w:t>
      </w:r>
      <w:r w:rsidRPr="00B443C5">
        <w:rPr>
          <w:rFonts w:ascii="Arial" w:hAnsi="Arial"/>
          <w:color w:val="4D4D4D" w:themeColor="background2" w:themeTint="BF"/>
          <w:lang w:val="es-419"/>
        </w:rPr>
        <w:lastRenderedPageBreak/>
        <w:t xml:space="preserve">vía para reafirmar nuestro compromiso con las pequeñas y medianas empresas y así procurar la preservación y generación de empleo, además del desarrollo de prácticas sostenibles”. </w:t>
      </w:r>
    </w:p>
    <w:p w14:paraId="5F83C812" w14:textId="77777777" w:rsidR="00184FDB" w:rsidRPr="00B443C5" w:rsidRDefault="00184FDB" w:rsidP="00184FDB">
      <w:pPr>
        <w:rPr>
          <w:rFonts w:ascii="Arial" w:hAnsi="Arial"/>
          <w:color w:val="4D4D4D" w:themeColor="background2" w:themeTint="BF"/>
          <w:lang w:val="es-CO"/>
        </w:rPr>
      </w:pPr>
      <w:r w:rsidRPr="00B443C5">
        <w:rPr>
          <w:rFonts w:ascii="Arial" w:hAnsi="Arial"/>
          <w:color w:val="4D4D4D" w:themeColor="background2" w:themeTint="BF"/>
          <w:lang w:val="es-CO"/>
        </w:rPr>
        <w:t>Este beneficio se suma a las soluciones financieras que ha desarrollado el Grupo Empresarial Argos para impulsar el proceso de reactivación económica del país y que incluyó el anuncio sobre la adopción anticipada de la Ley Pago en Plazos Justos, como lo venía haciendo desde el segundo semestre del 2020.</w:t>
      </w:r>
    </w:p>
    <w:p w14:paraId="296CE27D" w14:textId="5D9F4503" w:rsidR="00184FDB" w:rsidRPr="00B443C5" w:rsidRDefault="00184FDB" w:rsidP="00184FDB">
      <w:pPr>
        <w:rPr>
          <w:rFonts w:ascii="Arial" w:hAnsi="Arial"/>
          <w:color w:val="4D4D4D" w:themeColor="background2" w:themeTint="BF"/>
          <w:lang w:val="es-CO"/>
        </w:rPr>
      </w:pPr>
      <w:r w:rsidRPr="00B443C5">
        <w:rPr>
          <w:rFonts w:ascii="Arial" w:hAnsi="Arial"/>
          <w:color w:val="4D4D4D" w:themeColor="background2" w:themeTint="BF"/>
          <w:lang w:val="es-CO"/>
        </w:rPr>
        <w:t>Por su parte, BBVA, en el marco de su estrategia de cambio climático y desarrollo sostenible para contribuir a la consecución de los Objetivos de Desarrollo Sostenible de Naciones Unidas y alineada con el Acuerdo de París sobre el Clima, se ha comprometido a colocar 100.000 millones de euros en financiación verde, infraestructuras sostenibles, emprendimiento social e inclusión financiera. Al cierre de 2020 el banco reportó que alcanzó el 50% de este objetivo, al movilizar 50.154 millones de euros en financiación sostenible.</w:t>
      </w:r>
    </w:p>
    <w:p w14:paraId="1DD3B1F3" w14:textId="77777777" w:rsidR="00BB2982" w:rsidRDefault="00602EE2" w:rsidP="00BB2982">
      <w:pPr>
        <w:widowControl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right="0"/>
        <w:rPr>
          <w:rFonts w:ascii="Arial" w:eastAsia="Arial" w:hAnsi="Arial"/>
          <w:color w:val="072146"/>
          <w:sz w:val="36"/>
          <w:szCs w:val="36"/>
        </w:rPr>
      </w:pPr>
      <w:r w:rsidRPr="00B443C5">
        <w:rPr>
          <w:rFonts w:ascii="Arial" w:hAnsi="Arial"/>
          <w:lang w:val="es-419"/>
        </w:rPr>
        <w:br w:type="page"/>
      </w:r>
      <w:proofErr w:type="spellStart"/>
      <w:r w:rsidR="00BB2982">
        <w:rPr>
          <w:rFonts w:ascii="Arial" w:eastAsia="Arial" w:hAnsi="Arial"/>
          <w:color w:val="072146"/>
          <w:sz w:val="36"/>
          <w:szCs w:val="36"/>
        </w:rPr>
        <w:lastRenderedPageBreak/>
        <w:t>Acerca</w:t>
      </w:r>
      <w:proofErr w:type="spellEnd"/>
      <w:r w:rsidR="00BB2982">
        <w:rPr>
          <w:rFonts w:ascii="Arial" w:eastAsia="Arial" w:hAnsi="Arial"/>
          <w:color w:val="072146"/>
          <w:sz w:val="36"/>
          <w:szCs w:val="36"/>
        </w:rPr>
        <w:t xml:space="preserve"> de BBVA </w:t>
      </w:r>
    </w:p>
    <w:p w14:paraId="5D5E75B1" w14:textId="77777777" w:rsidR="00BB2982" w:rsidRDefault="00BB2982" w:rsidP="00BB2982">
      <w:pPr>
        <w:widowControl/>
        <w:spacing w:before="480" w:line="240" w:lineRule="auto"/>
        <w:ind w:right="0"/>
        <w:jc w:val="center"/>
        <w:rPr>
          <w:rFonts w:ascii="Arial" w:eastAsia="Arial" w:hAnsi="Arial"/>
          <w:color w:val="072146"/>
          <w:sz w:val="36"/>
          <w:szCs w:val="36"/>
        </w:rPr>
      </w:pPr>
      <w:bookmarkStart w:id="0" w:name="_GoBack"/>
      <w:r>
        <w:rPr>
          <w:rFonts w:ascii="Arial" w:eastAsia="Arial" w:hAnsi="Arial"/>
          <w:noProof/>
          <w:color w:val="072146"/>
          <w:sz w:val="36"/>
          <w:szCs w:val="36"/>
          <w:lang w:val="es-CO" w:eastAsia="es-CO"/>
        </w:rPr>
        <w:drawing>
          <wp:inline distT="114300" distB="114300" distL="114300" distR="114300" wp14:anchorId="7EAAAE04" wp14:editId="2F0409B8">
            <wp:extent cx="5156200" cy="3492500"/>
            <wp:effectExtent l="0" t="0" r="635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562" cy="349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0BD5ECE8" w14:textId="77777777" w:rsidR="00BB2982" w:rsidRDefault="00BB2982" w:rsidP="00BB2982">
      <w:pPr>
        <w:rPr>
          <w:rFonts w:ascii="Arial" w:eastAsia="Arial" w:hAnsi="Arial"/>
        </w:rPr>
      </w:pPr>
      <w:bookmarkStart w:id="1" w:name="_heading=h.gjdgxs" w:colFirst="0" w:colLast="0"/>
      <w:bookmarkEnd w:id="1"/>
    </w:p>
    <w:p w14:paraId="12D72366" w14:textId="77777777" w:rsidR="003D69DF" w:rsidRPr="003D69DF" w:rsidRDefault="003D69DF" w:rsidP="003D69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72146"/>
          <w:sz w:val="22"/>
          <w:szCs w:val="22"/>
          <w:lang w:val="es-CO"/>
        </w:rPr>
      </w:pP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BBVA es un grupo financiero global fundado en 1857 con una visi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n centrada en el cliente. Tiene una posici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n de liderazgo en el mercado espa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ñ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ol, es la mayor instituci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n financiera de M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xico y cuenta con franquicias l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í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der en Am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rica del Sur. Adem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 xml:space="preserve">s, es el primer accionista de </w:t>
      </w:r>
      <w:proofErr w:type="spellStart"/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Garanti</w:t>
      </w:r>
      <w:proofErr w:type="spellEnd"/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 xml:space="preserve"> BBVA, en Turqu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í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a. Su prop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 xml:space="preserve">sito es poner al alcance de </w:t>
      </w:r>
      <w:proofErr w:type="gramStart"/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todos</w:t>
      </w:r>
      <w:proofErr w:type="gramEnd"/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 xml:space="preserve"> las oportunidades de esta nueva era. Este prop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sito est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 xml:space="preserve"> centrado en las necesidades reales de los clientes: proporcionar las mejores soluciones y ayudarles a tomar las mejores decisiones financieras, a trav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s de una experiencia f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cil y conveniente. La entidad se asienta en unos s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lidos valores: el cliente es lo primero, pensamos en grande y somos un solo equipo. Su modelo de banca responsable aspira a lograr una sociedad m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s inclusiva y sostenible.</w:t>
      </w:r>
    </w:p>
    <w:p w14:paraId="6275B4BA" w14:textId="77777777" w:rsidR="003D69DF" w:rsidRPr="003D69DF" w:rsidRDefault="003D69DF" w:rsidP="003D69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72146"/>
          <w:sz w:val="22"/>
          <w:szCs w:val="22"/>
          <w:lang w:val="es-CO"/>
        </w:rPr>
      </w:pPr>
      <w:r w:rsidRPr="003D69DF">
        <w:rPr>
          <w:rFonts w:ascii="Arial" w:eastAsia="Arial" w:hAnsi="Arial"/>
          <w:b/>
          <w:color w:val="072146"/>
          <w:sz w:val="22"/>
          <w:szCs w:val="22"/>
          <w:lang w:val="es-CO"/>
        </w:rPr>
        <w:t>BBVA en Colombia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 xml:space="preserve"> tiene presencia en todo el territorio nacional a trav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s de 534 oficinas y centros de atenci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n y 1.350 cajeros autom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ticos. Al cierre de 2020, la entidad report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 xml:space="preserve"> activos por 68,4 billones de pesos y una cartera de cr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ditos de 50,9 billones de pesos. Cuenta con una base de clientes cercana a tres millones de colombianos, de los cuales dos millones son clientes m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 xml:space="preserve">viles. BBVA tiene una planta de 5.052 colaboradores de los cuales cerca del 60% son mujeres.  </w:t>
      </w:r>
    </w:p>
    <w:p w14:paraId="7DB16F28" w14:textId="58A33802" w:rsidR="000D76DD" w:rsidRPr="00B443C5" w:rsidRDefault="003D69DF" w:rsidP="003D69D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lang w:val="es-419"/>
        </w:rPr>
      </w:pP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Gestiona iniciativas que contribuyan al desarrollo econ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mico y social del pa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í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s de manera sostenible con foco en tres ejes: iniciativas que contribuyan a reducir la desigualdad y el apoyo a comunidades vulnerables; impulso a la educaci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n y promoci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n de la sostenibilidad. Para el primer semestre del a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ñ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o logr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 xml:space="preserve"> operaciones por 1 bill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n de pesos en financiaci</w:t>
      </w:r>
      <w:r w:rsidRPr="003D69DF">
        <w:rPr>
          <w:rFonts w:ascii="Arial" w:eastAsia="Arial" w:hAnsi="Arial" w:hint="cs"/>
          <w:color w:val="072146"/>
          <w:sz w:val="22"/>
          <w:szCs w:val="22"/>
          <w:lang w:val="es-CO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  <w:lang w:val="es-CO"/>
        </w:rPr>
        <w:t>n sostenible.</w:t>
      </w:r>
    </w:p>
    <w:sectPr w:rsidR="000D76DD" w:rsidRPr="00B443C5">
      <w:headerReference w:type="default" r:id="rId9"/>
      <w:headerReference w:type="first" r:id="rId10"/>
      <w:pgSz w:w="11900" w:h="16840"/>
      <w:pgMar w:top="3119" w:right="771" w:bottom="1134" w:left="709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CB1F" w14:textId="77777777" w:rsidR="007B4422" w:rsidRDefault="007B4422">
      <w:pPr>
        <w:spacing w:after="0" w:line="240" w:lineRule="auto"/>
      </w:pPr>
      <w:r>
        <w:separator/>
      </w:r>
    </w:p>
  </w:endnote>
  <w:endnote w:type="continuationSeparator" w:id="0">
    <w:p w14:paraId="53128175" w14:textId="77777777" w:rsidR="007B4422" w:rsidRDefault="007B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BVABentonSansLight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BVABentonSans">
    <w:altName w:val="Times New Roman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Stag Sans Bo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B5D73" w14:textId="77777777" w:rsidR="007B4422" w:rsidRDefault="007B4422">
      <w:pPr>
        <w:spacing w:after="0" w:line="240" w:lineRule="auto"/>
      </w:pPr>
      <w:r>
        <w:separator/>
      </w:r>
    </w:p>
  </w:footnote>
  <w:footnote w:type="continuationSeparator" w:id="0">
    <w:p w14:paraId="6047DF95" w14:textId="77777777" w:rsidR="007B4422" w:rsidRDefault="007B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75F6" w14:textId="5FF29021" w:rsidR="000D76DD" w:rsidRDefault="000C69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BBVABentonSansLight" w:eastAsia="BBVABentonSansLight" w:hAnsi="BBVABentonSansLight" w:cs="BBVABentonSansLight"/>
        <w:color w:val="121212"/>
        <w:sz w:val="32"/>
        <w:szCs w:val="32"/>
      </w:rPr>
    </w:pPr>
    <w:r>
      <w:rPr>
        <w:rFonts w:ascii="BBVABentonSansLight" w:eastAsia="BBVABentonSansLight" w:hAnsi="BBVABentonSansLight" w:cs="BBVABentonSansLight"/>
        <w:noProof/>
        <w:color w:val="072146"/>
        <w:sz w:val="20"/>
        <w:szCs w:val="20"/>
        <w:lang w:val="es-CO" w:eastAsia="es-CO"/>
      </w:rPr>
      <w:drawing>
        <wp:anchor distT="0" distB="0" distL="114300" distR="114300" simplePos="0" relativeHeight="251661312" behindDoc="0" locked="0" layoutInCell="1" allowOverlap="1" wp14:anchorId="5F14E4E1" wp14:editId="492B1832">
          <wp:simplePos x="0" y="0"/>
          <wp:positionH relativeFrom="column">
            <wp:posOffset>5042535</wp:posOffset>
          </wp:positionH>
          <wp:positionV relativeFrom="paragraph">
            <wp:posOffset>-272415</wp:posOffset>
          </wp:positionV>
          <wp:extent cx="1561385" cy="1135553"/>
          <wp:effectExtent l="0" t="0" r="127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po-argo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385" cy="1135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EE2">
      <w:rPr>
        <w:noProof/>
        <w:lang w:val="es-CO" w:eastAsia="es-CO"/>
      </w:rPr>
      <w:drawing>
        <wp:anchor distT="0" distB="0" distL="114300" distR="114300" simplePos="0" relativeHeight="251658240" behindDoc="0" locked="0" layoutInCell="1" hidden="0" allowOverlap="1" wp14:anchorId="733E5328" wp14:editId="390907FD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073600" cy="53280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3600" cy="53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CC483E" w14:textId="477EA0FB" w:rsidR="000D76DD" w:rsidRDefault="000D76DD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07FC3F41" w14:textId="77777777" w:rsidR="000D76DD" w:rsidRDefault="000D76DD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73135416" w14:textId="77777777" w:rsidR="000D76DD" w:rsidRDefault="000D76DD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478DC807" w14:textId="77777777" w:rsidR="000D76DD" w:rsidRDefault="000D76DD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253F8E16" w14:textId="7EF9CC01" w:rsidR="000D76DD" w:rsidRPr="00B443C5" w:rsidRDefault="009A4D95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  <w:r>
      <w:rPr>
        <w:rFonts w:ascii="Arial" w:eastAsia="BBVABentonSansLight" w:hAnsi="Arial"/>
        <w:color w:val="072146"/>
        <w:sz w:val="20"/>
        <w:szCs w:val="20"/>
      </w:rPr>
      <w:t>09</w:t>
    </w:r>
    <w:r w:rsidR="00B443C5">
      <w:rPr>
        <w:rFonts w:ascii="Arial" w:eastAsia="BBVABentonSansLight" w:hAnsi="Arial"/>
        <w:color w:val="072146"/>
        <w:sz w:val="20"/>
        <w:szCs w:val="20"/>
      </w:rPr>
      <w:t>.06</w:t>
    </w:r>
    <w:r w:rsidR="00E87C7E" w:rsidRPr="00B443C5">
      <w:rPr>
        <w:rFonts w:ascii="Arial" w:eastAsia="BBVABentonSansLight" w:hAnsi="Arial"/>
        <w:color w:val="072146"/>
        <w:sz w:val="20"/>
        <w:szCs w:val="20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E0A41" w14:textId="2F92930A" w:rsidR="000D76DD" w:rsidRDefault="000C6975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2A5A5"/>
        <w:sz w:val="32"/>
        <w:szCs w:val="32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295B28E1" wp14:editId="58BE8A31">
          <wp:simplePos x="0" y="0"/>
          <wp:positionH relativeFrom="column">
            <wp:posOffset>5106035</wp:posOffset>
          </wp:positionH>
          <wp:positionV relativeFrom="paragraph">
            <wp:posOffset>-278765</wp:posOffset>
          </wp:positionV>
          <wp:extent cx="1517253" cy="1103457"/>
          <wp:effectExtent l="0" t="0" r="698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po-argo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616" cy="110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EE2">
      <w:rPr>
        <w:noProof/>
        <w:lang w:val="es-CO" w:eastAsia="es-CO"/>
      </w:rPr>
      <w:drawing>
        <wp:anchor distT="0" distB="0" distL="114300" distR="114300" simplePos="0" relativeHeight="251659264" behindDoc="0" locked="0" layoutInCell="1" hidden="0" allowOverlap="1" wp14:anchorId="2A844276" wp14:editId="2EF682A2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073600" cy="53280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3600" cy="53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3C52B5" w14:textId="77777777" w:rsidR="000D76DD" w:rsidRDefault="000D76DD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2E3D9D3B" w14:textId="77777777" w:rsidR="000D76DD" w:rsidRDefault="000D76DD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0CC5B21C" w14:textId="77777777" w:rsidR="000D76DD" w:rsidRDefault="000D76DD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174E8F33" w14:textId="77777777" w:rsidR="000D76DD" w:rsidRDefault="000D76DD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22D18262" w14:textId="77777777" w:rsidR="000C6975" w:rsidRDefault="000C6975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3BD865C1" w14:textId="263E72B5" w:rsidR="000D76DD" w:rsidRPr="00B443C5" w:rsidRDefault="009A4D95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  <w:r>
      <w:rPr>
        <w:rFonts w:ascii="Arial" w:eastAsia="BBVABentonSansLight" w:hAnsi="Arial"/>
        <w:color w:val="072146"/>
        <w:sz w:val="20"/>
        <w:szCs w:val="20"/>
      </w:rPr>
      <w:t>09</w:t>
    </w:r>
    <w:r w:rsidR="00B443C5">
      <w:rPr>
        <w:rFonts w:ascii="Arial" w:eastAsia="BBVABentonSansLight" w:hAnsi="Arial"/>
        <w:color w:val="072146"/>
        <w:sz w:val="20"/>
        <w:szCs w:val="20"/>
      </w:rPr>
      <w:t>.06</w:t>
    </w:r>
    <w:r w:rsidR="00E87C7E" w:rsidRPr="00B443C5">
      <w:rPr>
        <w:rFonts w:ascii="Arial" w:eastAsia="BBVABentonSansLight" w:hAnsi="Arial"/>
        <w:color w:val="072146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3pt;height:31pt" o:bullet="t">
        <v:imagedata r:id="rId1" o:title="Aqua_1"/>
      </v:shape>
    </w:pict>
  </w:numPicBullet>
  <w:abstractNum w:abstractNumId="0" w15:restartNumberingAfterBreak="0">
    <w:nsid w:val="07353D67"/>
    <w:multiLevelType w:val="multilevel"/>
    <w:tmpl w:val="C6788F6C"/>
    <w:lvl w:ilvl="0">
      <w:start w:val="1"/>
      <w:numFmt w:val="decimal"/>
      <w:pStyle w:val="bulletvie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5763A2"/>
    <w:multiLevelType w:val="multilevel"/>
    <w:tmpl w:val="37B69B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446C1F"/>
    <w:multiLevelType w:val="hybridMultilevel"/>
    <w:tmpl w:val="429E24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4701"/>
    <w:multiLevelType w:val="hybridMultilevel"/>
    <w:tmpl w:val="8B42C676"/>
    <w:lvl w:ilvl="0" w:tplc="A172F91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u w:color="8080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DD"/>
    <w:rsid w:val="00043C22"/>
    <w:rsid w:val="00077291"/>
    <w:rsid w:val="00082375"/>
    <w:rsid w:val="00085A17"/>
    <w:rsid w:val="000B7021"/>
    <w:rsid w:val="000C6975"/>
    <w:rsid w:val="000C7D1C"/>
    <w:rsid w:val="000D7402"/>
    <w:rsid w:val="000D76DD"/>
    <w:rsid w:val="00184FDB"/>
    <w:rsid w:val="001F332A"/>
    <w:rsid w:val="002661E9"/>
    <w:rsid w:val="002B6D21"/>
    <w:rsid w:val="002D38D6"/>
    <w:rsid w:val="00373CC4"/>
    <w:rsid w:val="003D69DF"/>
    <w:rsid w:val="00407644"/>
    <w:rsid w:val="00415439"/>
    <w:rsid w:val="004A17BD"/>
    <w:rsid w:val="004B0178"/>
    <w:rsid w:val="004F4ACC"/>
    <w:rsid w:val="005D73ED"/>
    <w:rsid w:val="00602EE2"/>
    <w:rsid w:val="00605B62"/>
    <w:rsid w:val="006078C4"/>
    <w:rsid w:val="00663BED"/>
    <w:rsid w:val="007210EE"/>
    <w:rsid w:val="00750B04"/>
    <w:rsid w:val="007B4422"/>
    <w:rsid w:val="008061C2"/>
    <w:rsid w:val="00856477"/>
    <w:rsid w:val="00944453"/>
    <w:rsid w:val="009A4D95"/>
    <w:rsid w:val="009D5D85"/>
    <w:rsid w:val="00B03ED9"/>
    <w:rsid w:val="00B443C5"/>
    <w:rsid w:val="00B837D7"/>
    <w:rsid w:val="00BB2982"/>
    <w:rsid w:val="00C43A52"/>
    <w:rsid w:val="00D12E62"/>
    <w:rsid w:val="00D432D0"/>
    <w:rsid w:val="00D93BB8"/>
    <w:rsid w:val="00DC1DFC"/>
    <w:rsid w:val="00E33DAA"/>
    <w:rsid w:val="00E33FA5"/>
    <w:rsid w:val="00E87C7E"/>
    <w:rsid w:val="00F326F2"/>
    <w:rsid w:val="00F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56418"/>
  <w15:docId w15:val="{B9621DD2-3BBE-414E-90BA-2B95C8DD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BVABentonSansLight" w:eastAsia="BBVABentonSansLight" w:hAnsi="BBVABentonSansLight" w:cs="BBVABentonSansLight"/>
        <w:color w:val="666666"/>
        <w:sz w:val="24"/>
        <w:szCs w:val="24"/>
        <w:lang w:val="en-US" w:eastAsia="es-CO" w:bidi="ar-SA"/>
      </w:rPr>
    </w:rPrDefault>
    <w:pPrDefault>
      <w:pPr>
        <w:widowControl w:val="0"/>
        <w:spacing w:after="240" w:line="264" w:lineRule="auto"/>
        <w:ind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60"/>
    <w:pPr>
      <w:autoSpaceDE w:val="0"/>
      <w:autoSpaceDN w:val="0"/>
      <w:adjustRightInd w:val="0"/>
    </w:pPr>
    <w:rPr>
      <w:rFonts w:asciiTheme="minorHAnsi" w:eastAsia="Times" w:hAnsiTheme="minorHAnsi" w:cs="Arial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81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481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1C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973B8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781CEB"/>
    <w:pPr>
      <w:pBdr>
        <w:bottom w:val="single" w:sz="8" w:space="4" w:color="1973B8" w:themeColor="accent1"/>
      </w:pBdr>
      <w:spacing w:after="300"/>
      <w:contextualSpacing/>
    </w:pPr>
    <w:rPr>
      <w:rFonts w:asciiTheme="majorHAnsi" w:eastAsiaTheme="majorEastAsia" w:hAnsiTheme="majorHAnsi" w:cstheme="majorBidi"/>
      <w:color w:val="004481" w:themeColor="text1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81CEB"/>
    <w:pPr>
      <w:tabs>
        <w:tab w:val="center" w:pos="4252"/>
        <w:tab w:val="right" w:pos="8504"/>
      </w:tabs>
    </w:pPr>
    <w:rPr>
      <w:color w:val="121212" w:themeColor="background2"/>
    </w:rPr>
  </w:style>
  <w:style w:type="character" w:customStyle="1" w:styleId="EncabezadoCar">
    <w:name w:val="Encabezado Car"/>
    <w:basedOn w:val="Fuentedeprrafopredeter"/>
    <w:link w:val="Encabezado"/>
    <w:uiPriority w:val="99"/>
    <w:rsid w:val="00781CEB"/>
    <w:rPr>
      <w:rFonts w:asciiTheme="minorHAnsi" w:eastAsia="Times" w:hAnsiTheme="minorHAnsi"/>
      <w:color w:val="121212" w:themeColor="background2"/>
      <w:sz w:val="24"/>
      <w:szCs w:val="24"/>
      <w:lang w:val="es-ES_tradnl"/>
    </w:rPr>
  </w:style>
  <w:style w:type="paragraph" w:customStyle="1" w:styleId="Subtitulo">
    <w:name w:val="Subtitulo"/>
    <w:qFormat/>
    <w:rsid w:val="003E3D2F"/>
    <w:pPr>
      <w:spacing w:before="480"/>
    </w:pPr>
    <w:rPr>
      <w:rFonts w:asciiTheme="majorHAnsi" w:eastAsia="Times" w:hAnsiTheme="majorHAnsi"/>
      <w:color w:val="072146" w:themeColor="accent4"/>
      <w:sz w:val="36"/>
      <w:szCs w:val="36"/>
    </w:rPr>
  </w:style>
  <w:style w:type="paragraph" w:styleId="Piedepgina">
    <w:name w:val="footer"/>
    <w:basedOn w:val="Normal"/>
    <w:link w:val="PiedepginaCar"/>
    <w:uiPriority w:val="99"/>
    <w:unhideWhenUsed/>
    <w:rsid w:val="008A5853"/>
    <w:pPr>
      <w:tabs>
        <w:tab w:val="center" w:pos="4513"/>
        <w:tab w:val="right" w:pos="9026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04D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D04DD"/>
    <w:rPr>
      <w:rFonts w:ascii="Lucida Grande" w:hAnsi="Lucida Grande"/>
      <w:sz w:val="18"/>
      <w:szCs w:val="18"/>
    </w:rPr>
  </w:style>
  <w:style w:type="paragraph" w:customStyle="1" w:styleId="piedepagina">
    <w:name w:val="pie de pagina"/>
    <w:basedOn w:val="Normal"/>
    <w:autoRedefine/>
    <w:rsid w:val="00781CEB"/>
    <w:pPr>
      <w:ind w:right="95"/>
      <w:jc w:val="right"/>
    </w:pPr>
    <w:rPr>
      <w:color w:val="1973B8" w:themeColor="accent1"/>
      <w:sz w:val="20"/>
      <w:lang w:val="es-ES"/>
    </w:rPr>
  </w:style>
  <w:style w:type="character" w:styleId="Hipervnculo">
    <w:name w:val="Hyperlink"/>
    <w:rsid w:val="00906762"/>
  </w:style>
  <w:style w:type="paragraph" w:customStyle="1" w:styleId="Listavistosa-nfasis11">
    <w:name w:val="Lista vistosa - Énfasis 11"/>
    <w:basedOn w:val="Normal"/>
    <w:uiPriority w:val="34"/>
    <w:qFormat/>
    <w:rsid w:val="00781CEB"/>
    <w:pPr>
      <w:ind w:left="720"/>
    </w:pPr>
    <w:rPr>
      <w:color w:val="121212" w:themeColor="background2"/>
      <w:szCs w:val="20"/>
    </w:rPr>
  </w:style>
  <w:style w:type="paragraph" w:customStyle="1" w:styleId="Fechacabecera">
    <w:name w:val="Fecha_cabecera"/>
    <w:qFormat/>
    <w:rsid w:val="00906762"/>
    <w:pPr>
      <w:jc w:val="right"/>
    </w:pPr>
    <w:rPr>
      <w:rFonts w:asciiTheme="minorHAnsi" w:eastAsia="Times" w:hAnsiTheme="minorHAnsi" w:cstheme="minorHAnsi"/>
      <w:color w:val="072146" w:themeColor="accent4"/>
      <w:lang w:val="es-ES_tradnl"/>
    </w:rPr>
  </w:style>
  <w:style w:type="paragraph" w:customStyle="1" w:styleId="Nombredoc">
    <w:name w:val="Nombre_doc"/>
    <w:qFormat/>
    <w:rsid w:val="00906762"/>
    <w:pPr>
      <w:jc w:val="right"/>
    </w:pPr>
    <w:rPr>
      <w:rFonts w:asciiTheme="minorHAnsi" w:eastAsia="Times" w:hAnsiTheme="minorHAnsi" w:cstheme="minorHAnsi"/>
      <w:noProof/>
      <w:color w:val="02A5A5"/>
      <w:sz w:val="32"/>
      <w:szCs w:val="28"/>
    </w:rPr>
  </w:style>
  <w:style w:type="paragraph" w:customStyle="1" w:styleId="Antettulo">
    <w:name w:val="Antetítulo"/>
    <w:qFormat/>
    <w:rsid w:val="00D250D5"/>
    <w:pPr>
      <w:tabs>
        <w:tab w:val="left" w:pos="426"/>
        <w:tab w:val="left" w:pos="11199"/>
      </w:tabs>
    </w:pPr>
    <w:rPr>
      <w:rFonts w:asciiTheme="majorHAnsi" w:eastAsia="Times" w:hAnsiTheme="majorHAnsi"/>
      <w:color w:val="072146" w:themeColor="accent4"/>
      <w:sz w:val="32"/>
      <w:szCs w:val="32"/>
      <w:lang w:val="es-ES_tradnl" w:eastAsia="en-US"/>
    </w:rPr>
  </w:style>
  <w:style w:type="paragraph" w:customStyle="1" w:styleId="Ttuloprincipal">
    <w:name w:val="Título_principal"/>
    <w:qFormat/>
    <w:rsid w:val="003E3D2F"/>
    <w:pPr>
      <w:tabs>
        <w:tab w:val="left" w:pos="-4111"/>
      </w:tabs>
      <w:spacing w:after="480"/>
    </w:pPr>
    <w:rPr>
      <w:rFonts w:asciiTheme="majorHAnsi" w:eastAsia="Times" w:hAnsiTheme="majorHAnsi"/>
      <w:color w:val="02A5A5"/>
      <w:sz w:val="48"/>
    </w:rPr>
  </w:style>
  <w:style w:type="character" w:styleId="nfasissutil">
    <w:name w:val="Subtle Emphasis"/>
    <w:basedOn w:val="Fuentedeprrafopredeter"/>
    <w:uiPriority w:val="19"/>
    <w:qFormat/>
    <w:rsid w:val="00781CEB"/>
    <w:rPr>
      <w:rFonts w:asciiTheme="minorHAnsi" w:hAnsiTheme="minorHAnsi"/>
      <w:i/>
      <w:iCs/>
      <w:color w:val="5BBEFF" w:themeColor="accent2"/>
    </w:rPr>
  </w:style>
  <w:style w:type="paragraph" w:customStyle="1" w:styleId="Entradilla">
    <w:name w:val="Entradilla"/>
    <w:next w:val="Normal"/>
    <w:qFormat/>
    <w:rsid w:val="003E3D2F"/>
    <w:pPr>
      <w:spacing w:before="480"/>
    </w:pPr>
    <w:rPr>
      <w:rFonts w:asciiTheme="majorHAnsi" w:eastAsia="Times" w:hAnsiTheme="majorHAnsi" w:cs="Stag Sans Book"/>
      <w:color w:val="121212" w:themeColor="background2"/>
      <w:lang w:eastAsia="es-ES_tradnl"/>
    </w:rPr>
  </w:style>
  <w:style w:type="paragraph" w:customStyle="1" w:styleId="Textonomal">
    <w:name w:val="Texto_nomal"/>
    <w:basedOn w:val="Normal"/>
    <w:qFormat/>
    <w:rsid w:val="003E3D2F"/>
  </w:style>
  <w:style w:type="paragraph" w:customStyle="1" w:styleId="Ladillo">
    <w:name w:val="Ladillo"/>
    <w:qFormat/>
    <w:rsid w:val="003E3D2F"/>
    <w:pPr>
      <w:autoSpaceDE w:val="0"/>
      <w:autoSpaceDN w:val="0"/>
      <w:adjustRightInd w:val="0"/>
      <w:spacing w:before="360" w:after="120"/>
    </w:pPr>
    <w:rPr>
      <w:rFonts w:asciiTheme="minorHAnsi" w:eastAsia="Times" w:hAnsiTheme="minorHAnsi" w:cs="Arial"/>
      <w:b/>
      <w:color w:val="004481" w:themeColor="text1"/>
      <w:lang w:val="it-IT" w:eastAsia="es-ES_tradnl"/>
    </w:rPr>
  </w:style>
  <w:style w:type="paragraph" w:customStyle="1" w:styleId="Contacto">
    <w:name w:val="Contacto"/>
    <w:qFormat/>
    <w:rsid w:val="00906762"/>
    <w:pPr>
      <w:tabs>
        <w:tab w:val="left" w:pos="142"/>
      </w:tabs>
      <w:autoSpaceDE w:val="0"/>
      <w:autoSpaceDN w:val="0"/>
      <w:adjustRightInd w:val="0"/>
      <w:ind w:right="425"/>
    </w:pPr>
    <w:rPr>
      <w:rFonts w:asciiTheme="minorHAnsi" w:eastAsia="Times" w:hAnsiTheme="minorHAnsi" w:cs="Stag Sans Book"/>
      <w:b/>
      <w:color w:val="004481" w:themeColor="text1"/>
      <w:lang w:val="es-ES_tradnl" w:eastAsia="es-ES_tradnl"/>
    </w:rPr>
  </w:style>
  <w:style w:type="paragraph" w:customStyle="1" w:styleId="Nombredpto">
    <w:name w:val="Nombre_dpto"/>
    <w:qFormat/>
    <w:rsid w:val="00906762"/>
    <w:pPr>
      <w:tabs>
        <w:tab w:val="left" w:pos="142"/>
      </w:tabs>
      <w:autoSpaceDE w:val="0"/>
      <w:autoSpaceDN w:val="0"/>
      <w:adjustRightInd w:val="0"/>
      <w:ind w:right="425"/>
    </w:pPr>
    <w:rPr>
      <w:rFonts w:asciiTheme="minorHAnsi" w:eastAsia="Times" w:hAnsiTheme="minorHAnsi" w:cs="Arial"/>
      <w:b/>
      <w:bCs/>
      <w:color w:val="004481" w:themeColor="text1"/>
      <w:szCs w:val="26"/>
      <w:lang w:val="es-ES_tradnl" w:eastAsia="es-ES_tradnl"/>
    </w:rPr>
  </w:style>
  <w:style w:type="paragraph" w:customStyle="1" w:styleId="datoscontacto">
    <w:name w:val="datos contacto"/>
    <w:qFormat/>
    <w:rsid w:val="00906762"/>
    <w:pPr>
      <w:spacing w:after="40"/>
    </w:pPr>
    <w:rPr>
      <w:rFonts w:asciiTheme="minorHAnsi" w:eastAsia="Times" w:hAnsiTheme="minorHAnsi" w:cs="Arial"/>
      <w:lang w:eastAsia="es-ES_tradnl"/>
    </w:rPr>
  </w:style>
  <w:style w:type="paragraph" w:customStyle="1" w:styleId="Infoadicional">
    <w:name w:val="Info_adicional"/>
    <w:basedOn w:val="Normal"/>
    <w:qFormat/>
    <w:rsid w:val="00671915"/>
    <w:pPr>
      <w:spacing w:before="240"/>
      <w:ind w:right="425"/>
    </w:pPr>
    <w:rPr>
      <w:rFonts w:cs="Calibri"/>
      <w:szCs w:val="30"/>
    </w:rPr>
  </w:style>
  <w:style w:type="paragraph" w:customStyle="1" w:styleId="Link">
    <w:name w:val="Link"/>
    <w:basedOn w:val="Normal"/>
    <w:qFormat/>
    <w:rsid w:val="00781CEB"/>
    <w:pPr>
      <w:ind w:right="425"/>
    </w:pPr>
    <w:rPr>
      <w:rFonts w:cs="Calibri"/>
      <w:color w:val="1973B8" w:themeColor="accent1"/>
      <w:szCs w:val="30"/>
    </w:rPr>
  </w:style>
  <w:style w:type="character" w:customStyle="1" w:styleId="Ttulo1Car">
    <w:name w:val="Título 1 Car"/>
    <w:basedOn w:val="Fuentedeprrafopredeter"/>
    <w:link w:val="Ttulo1"/>
    <w:uiPriority w:val="9"/>
    <w:rsid w:val="00781CEB"/>
    <w:rPr>
      <w:rFonts w:asciiTheme="majorHAnsi" w:eastAsiaTheme="majorEastAsia" w:hAnsiTheme="majorHAnsi" w:cstheme="majorBidi"/>
      <w:b/>
      <w:bCs/>
      <w:color w:val="004481" w:themeColor="text1"/>
      <w:sz w:val="28"/>
      <w:szCs w:val="28"/>
      <w:lang w:val="es-ES_tradnl"/>
    </w:rPr>
  </w:style>
  <w:style w:type="paragraph" w:customStyle="1" w:styleId="Ttulointerior">
    <w:name w:val="Título interior"/>
    <w:basedOn w:val="Ttulo1"/>
    <w:qFormat/>
    <w:rsid w:val="00A74331"/>
    <w:pPr>
      <w:spacing w:after="120"/>
    </w:pPr>
    <w:rPr>
      <w:b w:val="0"/>
      <w:color w:val="072146" w:themeColor="accent4"/>
      <w:sz w:val="36"/>
    </w:rPr>
  </w:style>
  <w:style w:type="paragraph" w:customStyle="1" w:styleId="Textodestacado">
    <w:name w:val="Texto_destacado"/>
    <w:basedOn w:val="Normal"/>
    <w:qFormat/>
    <w:rsid w:val="00A74331"/>
    <w:rPr>
      <w:rFonts w:asciiTheme="majorHAnsi" w:hAnsiTheme="majorHAnsi"/>
      <w:color w:val="072146" w:themeColor="accent4"/>
      <w:sz w:val="22"/>
      <w:szCs w:val="22"/>
    </w:rPr>
  </w:style>
  <w:style w:type="paragraph" w:customStyle="1" w:styleId="bulletvieta">
    <w:name w:val="bullet viñeta"/>
    <w:qFormat/>
    <w:rsid w:val="00A74331"/>
    <w:pPr>
      <w:numPr>
        <w:numId w:val="2"/>
      </w:numPr>
      <w:spacing w:after="280"/>
      <w:ind w:left="357" w:hanging="357"/>
    </w:pPr>
    <w:rPr>
      <w:rFonts w:asciiTheme="majorHAnsi" w:eastAsiaTheme="minorHAnsi" w:hAnsiTheme="majorHAnsi" w:cstheme="minorBidi"/>
      <w:b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781CEB"/>
    <w:rPr>
      <w:rFonts w:asciiTheme="majorHAnsi" w:hAnsiTheme="majorHAnsi"/>
      <w:i/>
      <w:iCs/>
      <w:color w:val="121212" w:themeColor="background2"/>
    </w:rPr>
  </w:style>
  <w:style w:type="character" w:styleId="nfasisintenso">
    <w:name w:val="Intense Emphasis"/>
    <w:basedOn w:val="Fuentedeprrafopredeter"/>
    <w:uiPriority w:val="21"/>
    <w:qFormat/>
    <w:rsid w:val="00161CDA"/>
    <w:rPr>
      <w:rFonts w:asciiTheme="minorHAnsi" w:hAnsiTheme="minorHAnsi"/>
      <w:b/>
      <w:bCs/>
      <w:i/>
      <w:iCs/>
      <w:color w:val="1973B8" w:themeColor="accent1"/>
    </w:rPr>
  </w:style>
  <w:style w:type="character" w:styleId="Ttulodellibro">
    <w:name w:val="Book Title"/>
    <w:basedOn w:val="Fuentedeprrafopredeter"/>
    <w:uiPriority w:val="33"/>
    <w:qFormat/>
    <w:rsid w:val="00781CEB"/>
    <w:rPr>
      <w:rFonts w:asciiTheme="minorHAnsi" w:hAnsiTheme="minorHAnsi"/>
      <w:b/>
      <w:bCs/>
      <w:smallCaps/>
      <w:color w:val="121212" w:themeColor="background2"/>
      <w:spacing w:val="5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1CEB"/>
    <w:rPr>
      <w:rFonts w:asciiTheme="majorHAnsi" w:eastAsiaTheme="majorEastAsia" w:hAnsiTheme="majorHAnsi" w:cstheme="majorBidi"/>
      <w:b/>
      <w:bCs/>
      <w:color w:val="1973B8" w:themeColor="accent1"/>
      <w:sz w:val="26"/>
      <w:szCs w:val="26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781CEB"/>
    <w:rPr>
      <w:rFonts w:asciiTheme="majorHAnsi" w:eastAsiaTheme="majorEastAsia" w:hAnsiTheme="majorHAnsi" w:cstheme="majorBidi"/>
      <w:color w:val="004481" w:themeColor="text1"/>
      <w:spacing w:val="5"/>
      <w:kern w:val="28"/>
      <w:sz w:val="52"/>
      <w:szCs w:val="52"/>
      <w:lang w:val="es-ES_tradnl"/>
    </w:rPr>
  </w:style>
  <w:style w:type="paragraph" w:styleId="Subttulo">
    <w:name w:val="Subtitle"/>
    <w:basedOn w:val="Normal"/>
    <w:next w:val="Normal"/>
    <w:link w:val="SubttuloCar"/>
    <w:rPr>
      <w:rFonts w:ascii="BBVABentonSans" w:eastAsia="BBVABentonSans" w:hAnsi="BBVABentonSans" w:cs="BBVABentonSans"/>
      <w:i/>
      <w:color w:val="1973B8"/>
    </w:rPr>
  </w:style>
  <w:style w:type="character" w:customStyle="1" w:styleId="SubttuloCar">
    <w:name w:val="Subtítulo Car"/>
    <w:basedOn w:val="Fuentedeprrafopredeter"/>
    <w:link w:val="Subttulo"/>
    <w:uiPriority w:val="11"/>
    <w:rsid w:val="00781CEB"/>
    <w:rPr>
      <w:rFonts w:asciiTheme="majorHAnsi" w:eastAsiaTheme="majorEastAsia" w:hAnsiTheme="majorHAnsi" w:cstheme="majorBidi"/>
      <w:i/>
      <w:iCs/>
      <w:color w:val="1973B8" w:themeColor="accent1"/>
      <w:spacing w:val="15"/>
      <w:sz w:val="24"/>
      <w:szCs w:val="24"/>
      <w:lang w:val="es-ES_tradnl"/>
    </w:rPr>
  </w:style>
  <w:style w:type="character" w:styleId="Textoennegrita">
    <w:name w:val="Strong"/>
    <w:basedOn w:val="Fuentedeprrafopredeter"/>
    <w:uiPriority w:val="22"/>
    <w:qFormat/>
    <w:rsid w:val="00781CEB"/>
    <w:rPr>
      <w:rFonts w:asciiTheme="minorHAnsi" w:hAnsiTheme="minorHAnsi"/>
      <w:b/>
      <w:bCs/>
      <w:color w:val="121212" w:themeColor="background2"/>
    </w:rPr>
  </w:style>
  <w:style w:type="paragraph" w:styleId="Cita">
    <w:name w:val="Quote"/>
    <w:basedOn w:val="Normal"/>
    <w:next w:val="Normal"/>
    <w:link w:val="CitaCar"/>
    <w:uiPriority w:val="29"/>
    <w:qFormat/>
    <w:rsid w:val="00781CEB"/>
    <w:rPr>
      <w:i/>
      <w:iCs/>
      <w:color w:val="004481" w:themeColor="text1"/>
    </w:rPr>
  </w:style>
  <w:style w:type="character" w:customStyle="1" w:styleId="CitaCar">
    <w:name w:val="Cita Car"/>
    <w:basedOn w:val="Fuentedeprrafopredeter"/>
    <w:link w:val="Cita"/>
    <w:uiPriority w:val="29"/>
    <w:rsid w:val="00781CEB"/>
    <w:rPr>
      <w:rFonts w:asciiTheme="minorHAnsi" w:eastAsia="Times" w:hAnsiTheme="minorHAnsi"/>
      <w:i/>
      <w:iCs/>
      <w:color w:val="004481" w:themeColor="text1"/>
      <w:sz w:val="24"/>
      <w:szCs w:val="24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1CEB"/>
    <w:pPr>
      <w:pBdr>
        <w:bottom w:val="single" w:sz="4" w:space="4" w:color="1973B8" w:themeColor="accent1"/>
      </w:pBdr>
      <w:spacing w:before="200" w:after="280"/>
      <w:ind w:left="936" w:right="936"/>
    </w:pPr>
    <w:rPr>
      <w:b/>
      <w:bCs/>
      <w:i/>
      <w:iCs/>
      <w:color w:val="1973B8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1CEB"/>
    <w:rPr>
      <w:rFonts w:asciiTheme="minorHAnsi" w:eastAsia="Times" w:hAnsiTheme="minorHAnsi"/>
      <w:b/>
      <w:bCs/>
      <w:i/>
      <w:iCs/>
      <w:color w:val="1973B8" w:themeColor="accent1"/>
      <w:sz w:val="24"/>
      <w:szCs w:val="24"/>
      <w:lang w:val="es-ES_tradnl"/>
    </w:rPr>
  </w:style>
  <w:style w:type="character" w:styleId="Referenciasutil">
    <w:name w:val="Subtle Reference"/>
    <w:basedOn w:val="Fuentedeprrafopredeter"/>
    <w:uiPriority w:val="31"/>
    <w:qFormat/>
    <w:rsid w:val="00781CEB"/>
    <w:rPr>
      <w:rFonts w:asciiTheme="minorHAnsi" w:hAnsiTheme="minorHAnsi"/>
      <w:smallCaps/>
      <w:color w:val="5BBEFF" w:themeColor="accent2"/>
      <w:u w:val="none"/>
    </w:rPr>
  </w:style>
  <w:style w:type="character" w:styleId="Referenciaintensa">
    <w:name w:val="Intense Reference"/>
    <w:basedOn w:val="Fuentedeprrafopredeter"/>
    <w:uiPriority w:val="32"/>
    <w:qFormat/>
    <w:rsid w:val="00781CEB"/>
    <w:rPr>
      <w:rFonts w:asciiTheme="minorHAnsi" w:hAnsiTheme="minorHAnsi"/>
      <w:b/>
      <w:bCs/>
      <w:smallCaps/>
      <w:color w:val="5BBEFF" w:themeColor="accent2"/>
      <w:spacing w:val="5"/>
      <w:u w:val="none"/>
    </w:rPr>
  </w:style>
  <w:style w:type="paragraph" w:styleId="Prrafodelista">
    <w:name w:val="List Paragraph"/>
    <w:basedOn w:val="Normal"/>
    <w:uiPriority w:val="34"/>
    <w:qFormat/>
    <w:rsid w:val="00781CEB"/>
    <w:pPr>
      <w:ind w:left="720"/>
      <w:contextualSpacing/>
    </w:pPr>
    <w:rPr>
      <w:color w:val="121212" w:themeColor="background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853"/>
    <w:rPr>
      <w:rFonts w:asciiTheme="minorHAnsi" w:eastAsia="Times" w:hAnsiTheme="minorHAnsi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076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76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7644"/>
    <w:rPr>
      <w:rFonts w:asciiTheme="minorHAnsi" w:eastAsia="Times" w:hAnsiTheme="minorHAnsi" w:cs="Arial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76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7644"/>
    <w:rPr>
      <w:rFonts w:asciiTheme="minorHAnsi" w:eastAsia="Times" w:hAnsiTheme="minorHAnsi" w:cs="Arial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BVA Coronita">
  <a:themeElements>
    <a:clrScheme name="Coronita">
      <a:dk1>
        <a:srgbClr val="004481"/>
      </a:dk1>
      <a:lt1>
        <a:srgbClr val="FFFFFF"/>
      </a:lt1>
      <a:dk2>
        <a:srgbClr val="1464A5"/>
      </a:dk2>
      <a:lt2>
        <a:srgbClr val="121212"/>
      </a:lt2>
      <a:accent1>
        <a:srgbClr val="1973B8"/>
      </a:accent1>
      <a:accent2>
        <a:srgbClr val="5BBEFF"/>
      </a:accent2>
      <a:accent3>
        <a:srgbClr val="2DCCCD"/>
      </a:accent3>
      <a:accent4>
        <a:srgbClr val="072146"/>
      </a:accent4>
      <a:accent5>
        <a:srgbClr val="D8BE75"/>
      </a:accent5>
      <a:accent6>
        <a:srgbClr val="F7893B"/>
      </a:accent6>
      <a:hlink>
        <a:srgbClr val="004481"/>
      </a:hlink>
      <a:folHlink>
        <a:srgbClr val="072146"/>
      </a:folHlink>
    </a:clrScheme>
    <a:fontScheme name="Coronita New">
      <a:majorFont>
        <a:latin typeface="BBVABentonSans"/>
        <a:ea typeface=""/>
        <a:cs typeface=""/>
      </a:majorFont>
      <a:minorFont>
        <a:latin typeface="BBVABentonSans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</a:spPr>
      <a:bodyPr wrap="none" lIns="0" tIns="0" rIns="0" bIns="0" rtlCol="0" anchor="ctr">
        <a:noAutofit/>
      </a:bodyPr>
      <a:lstStyle>
        <a:defPPr algn="ctr">
          <a:defRPr u="none" dirty="0">
            <a:solidFill>
              <a:schemeClr val="bg1"/>
            </a:solidFill>
            <a:latin typeface="+mj-lt"/>
          </a:defRPr>
        </a:defPPr>
      </a:lstStyle>
    </a:spDef>
    <a:lnDef>
      <a:spPr>
        <a:ln w="3175">
          <a:solidFill>
            <a:srgbClr val="A6AAA8"/>
          </a:solidFill>
          <a:miter lim="400000"/>
        </a:ln>
      </a:spPr>
      <a:bodyPr/>
      <a:lstStyle/>
    </a:lnDef>
    <a:txDef>
      <a:spPr>
        <a:noFill/>
      </a:spPr>
      <a:bodyPr wrap="square" lIns="0" tIns="0" rIns="0" bIns="0" rtlCol="0">
        <a:noAutofit/>
      </a:bodyPr>
      <a:lstStyle>
        <a:defPPr>
          <a:defRPr sz="2000" u="none" dirty="0">
            <a:solidFill>
              <a:schemeClr val="tx2"/>
            </a:solidFill>
            <a:latin typeface="+mn-lt"/>
          </a:defRPr>
        </a:defPPr>
      </a:lstStyle>
    </a:txDef>
  </a:objectDefaults>
  <a:extraClrSchemeLst>
    <a:extraClrScheme>
      <a:clrScheme name="5_Tema de Offic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2">
        <a:dk1>
          <a:srgbClr val="094FA4"/>
        </a:dk1>
        <a:lt1>
          <a:srgbClr val="FFFFFF"/>
        </a:lt1>
        <a:dk2>
          <a:srgbClr val="89D1F3"/>
        </a:dk2>
        <a:lt2>
          <a:srgbClr val="FDBD2C"/>
        </a:lt2>
        <a:accent1>
          <a:srgbClr val="009EE5"/>
        </a:accent1>
        <a:accent2>
          <a:srgbClr val="F6891E"/>
        </a:accent2>
        <a:accent3>
          <a:srgbClr val="FFFFFF"/>
        </a:accent3>
        <a:accent4>
          <a:srgbClr val="06428B"/>
        </a:accent4>
        <a:accent5>
          <a:srgbClr val="AACCF0"/>
        </a:accent5>
        <a:accent6>
          <a:srgbClr val="DF7C1A"/>
        </a:accent6>
        <a:hlink>
          <a:srgbClr val="86C82D"/>
        </a:hlink>
        <a:folHlink>
          <a:srgbClr val="C8175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2">
        <a:dk1>
          <a:srgbClr val="094FA4"/>
        </a:dk1>
        <a:lt1>
          <a:srgbClr val="FFFFFF"/>
        </a:lt1>
        <a:dk2>
          <a:srgbClr val="89D1F3"/>
        </a:dk2>
        <a:lt2>
          <a:srgbClr val="FDBD2C"/>
        </a:lt2>
        <a:accent1>
          <a:srgbClr val="009EE5"/>
        </a:accent1>
        <a:accent2>
          <a:srgbClr val="F6891E"/>
        </a:accent2>
        <a:accent3>
          <a:srgbClr val="FFFFFF"/>
        </a:accent3>
        <a:accent4>
          <a:srgbClr val="06428B"/>
        </a:accent4>
        <a:accent5>
          <a:srgbClr val="AACCF0"/>
        </a:accent5>
        <a:accent6>
          <a:srgbClr val="DF7C1A"/>
        </a:accent6>
        <a:hlink>
          <a:srgbClr val="86C82D"/>
        </a:hlink>
        <a:folHlink>
          <a:srgbClr val="C8175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3">
        <a:dk1>
          <a:srgbClr val="094FA4"/>
        </a:dk1>
        <a:lt1>
          <a:srgbClr val="FFFFFF"/>
        </a:lt1>
        <a:dk2>
          <a:srgbClr val="88D1F2"/>
        </a:dk2>
        <a:lt2>
          <a:srgbClr val="FDBD2C"/>
        </a:lt2>
        <a:accent1>
          <a:srgbClr val="009EE5"/>
        </a:accent1>
        <a:accent2>
          <a:srgbClr val="F6891E"/>
        </a:accent2>
        <a:accent3>
          <a:srgbClr val="FFFFFF"/>
        </a:accent3>
        <a:accent4>
          <a:srgbClr val="06428B"/>
        </a:accent4>
        <a:accent5>
          <a:srgbClr val="AACCF0"/>
        </a:accent5>
        <a:accent6>
          <a:srgbClr val="DF7C1A"/>
        </a:accent6>
        <a:hlink>
          <a:srgbClr val="86C82D"/>
        </a:hlink>
        <a:folHlink>
          <a:srgbClr val="3EB6B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zrnZH1rJAPFK3tQBsxDkatobtQ==">AMUW2mVj547VUk2mv9yu4f0fZLEOr5f2sNjSfVCZw9pah8Tt8LeoP9Dynr8V4Widu6f1R2SpfYzqSiaouALnikjXuWGeepFQP+yfJXlwOYiM7zSybSSze/ssvwj3/n+4UUR/2A2LDbTr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CANFRANC, MIGUEL</dc:creator>
  <cp:lastModifiedBy>MARIA CAROLINA RAMIREZ BONILLA</cp:lastModifiedBy>
  <cp:revision>5</cp:revision>
  <dcterms:created xsi:type="dcterms:W3CDTF">2021-06-01T17:34:00Z</dcterms:created>
  <dcterms:modified xsi:type="dcterms:W3CDTF">2021-06-08T16:16:00Z</dcterms:modified>
</cp:coreProperties>
</file>