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4CB8" w14:textId="576A0411" w:rsidR="00E620A2" w:rsidRPr="00F553AD" w:rsidRDefault="00FC6A91" w:rsidP="00F553AD">
      <w:pPr>
        <w:autoSpaceDE w:val="0"/>
        <w:autoSpaceDN w:val="0"/>
        <w:adjustRightInd w:val="0"/>
        <w:spacing w:after="0" w:line="240" w:lineRule="auto"/>
        <w:rPr>
          <w:rFonts w:cstheme="minorHAnsi"/>
          <w:b/>
          <w:bCs/>
          <w:color w:val="000000"/>
          <w:sz w:val="24"/>
          <w:szCs w:val="24"/>
          <w:lang w:val="es-ES"/>
        </w:rPr>
      </w:pPr>
      <w:r w:rsidRPr="00F553AD">
        <w:rPr>
          <w:rFonts w:eastAsia="Calibri" w:cstheme="minorHAnsi"/>
          <w:bCs/>
          <w:sz w:val="24"/>
          <w:szCs w:val="24"/>
          <w:lang w:val="es-ES"/>
        </w:rPr>
        <w:t>Informe de TransUnion primer trimestre 2021</w:t>
      </w:r>
    </w:p>
    <w:p w14:paraId="44C066BE" w14:textId="0805C19D" w:rsidR="00531D68" w:rsidRPr="00F553AD" w:rsidRDefault="00077FC6" w:rsidP="00F553AD">
      <w:pPr>
        <w:autoSpaceDE w:val="0"/>
        <w:autoSpaceDN w:val="0"/>
        <w:adjustRightInd w:val="0"/>
        <w:spacing w:after="0" w:line="240" w:lineRule="auto"/>
        <w:rPr>
          <w:rFonts w:cstheme="minorHAnsi"/>
          <w:b/>
          <w:bCs/>
          <w:color w:val="000000"/>
          <w:sz w:val="28"/>
          <w:szCs w:val="28"/>
          <w:lang w:val="es-ES"/>
        </w:rPr>
      </w:pPr>
      <w:r w:rsidRPr="00F553AD">
        <w:rPr>
          <w:rFonts w:cstheme="minorHAnsi"/>
          <w:b/>
          <w:bCs/>
          <w:color w:val="000000"/>
          <w:sz w:val="28"/>
          <w:szCs w:val="28"/>
          <w:lang w:val="es-ES"/>
        </w:rPr>
        <w:t xml:space="preserve">Colombianos cautelosos </w:t>
      </w:r>
      <w:r w:rsidR="00531D68" w:rsidRPr="00F553AD">
        <w:rPr>
          <w:rFonts w:cstheme="minorHAnsi"/>
          <w:b/>
          <w:bCs/>
          <w:color w:val="000000"/>
          <w:sz w:val="28"/>
          <w:szCs w:val="28"/>
          <w:lang w:val="es-ES"/>
        </w:rPr>
        <w:t>e</w:t>
      </w:r>
      <w:r w:rsidRPr="00F553AD">
        <w:rPr>
          <w:rFonts w:cstheme="minorHAnsi"/>
          <w:b/>
          <w:bCs/>
          <w:color w:val="000000"/>
          <w:sz w:val="28"/>
          <w:szCs w:val="28"/>
          <w:lang w:val="es-ES"/>
        </w:rPr>
        <w:t>n el uso del crédito</w:t>
      </w:r>
    </w:p>
    <w:p w14:paraId="46FB3958" w14:textId="77777777" w:rsidR="00077FC6" w:rsidRPr="00F553AD" w:rsidRDefault="00077FC6" w:rsidP="00077FC6">
      <w:pPr>
        <w:spacing w:after="200" w:line="276" w:lineRule="auto"/>
        <w:ind w:left="720"/>
        <w:contextualSpacing/>
        <w:rPr>
          <w:rFonts w:eastAsia="Times New Roman" w:cstheme="minorHAnsi"/>
          <w:bCs/>
          <w:i/>
          <w:sz w:val="20"/>
          <w:szCs w:val="20"/>
          <w:lang w:val="es-ES"/>
        </w:rPr>
      </w:pPr>
    </w:p>
    <w:p w14:paraId="2EA43F3C" w14:textId="76E0DC62" w:rsidR="00525927" w:rsidRPr="00F553AD" w:rsidRDefault="0052630B" w:rsidP="00F553AD">
      <w:pPr>
        <w:pStyle w:val="Sinespaciado"/>
        <w:numPr>
          <w:ilvl w:val="0"/>
          <w:numId w:val="3"/>
        </w:numPr>
        <w:jc w:val="both"/>
        <w:rPr>
          <w:i/>
          <w:iCs/>
          <w:sz w:val="24"/>
          <w:szCs w:val="24"/>
          <w:lang w:val="es-CO"/>
        </w:rPr>
      </w:pPr>
      <w:r w:rsidRPr="00F553AD">
        <w:rPr>
          <w:i/>
          <w:iCs/>
          <w:sz w:val="24"/>
          <w:szCs w:val="24"/>
          <w:lang w:val="es-CO"/>
        </w:rPr>
        <w:t>La deuda promedio de los consumidores en tarjetas de crédito disminuyó 2,5% en el primer trimestre de 2021, frente a un crecimiento de 7,2% observado en el primer trimestre de 2020.</w:t>
      </w:r>
    </w:p>
    <w:p w14:paraId="132908DF" w14:textId="77777777" w:rsidR="00525927" w:rsidRPr="00F553AD" w:rsidRDefault="00525927" w:rsidP="00F553AD">
      <w:pPr>
        <w:pStyle w:val="Sinespaciado"/>
        <w:jc w:val="both"/>
        <w:rPr>
          <w:i/>
          <w:iCs/>
          <w:sz w:val="24"/>
          <w:szCs w:val="24"/>
          <w:lang w:val="es-CO"/>
        </w:rPr>
      </w:pPr>
    </w:p>
    <w:p w14:paraId="1E39A0E0" w14:textId="33B8A61B" w:rsidR="00525927" w:rsidRPr="00F553AD" w:rsidRDefault="00525927" w:rsidP="00F553AD">
      <w:pPr>
        <w:pStyle w:val="Sinespaciado"/>
        <w:numPr>
          <w:ilvl w:val="0"/>
          <w:numId w:val="3"/>
        </w:numPr>
        <w:jc w:val="both"/>
        <w:rPr>
          <w:i/>
          <w:iCs/>
          <w:sz w:val="24"/>
          <w:szCs w:val="24"/>
          <w:lang w:val="es-CO"/>
        </w:rPr>
      </w:pPr>
      <w:r w:rsidRPr="00F553AD">
        <w:rPr>
          <w:i/>
          <w:iCs/>
          <w:sz w:val="24"/>
          <w:szCs w:val="24"/>
          <w:lang w:val="es-CO"/>
        </w:rPr>
        <w:t>Los consumidores de menor riesgo están reduciendo el uso de sus tarjetas de crédito, mientras que los consumidores de mayor riesgo aprovechan el crédito para hacer frente a las difíciles condiciones financieras y económicas.</w:t>
      </w:r>
    </w:p>
    <w:p w14:paraId="23DD8466" w14:textId="77777777" w:rsidR="00525927" w:rsidRPr="00F553AD" w:rsidRDefault="00525927" w:rsidP="00F553AD">
      <w:pPr>
        <w:pStyle w:val="Sinespaciado"/>
        <w:jc w:val="both"/>
        <w:rPr>
          <w:i/>
          <w:iCs/>
          <w:sz w:val="24"/>
          <w:szCs w:val="24"/>
          <w:lang w:val="es-CO"/>
        </w:rPr>
      </w:pPr>
    </w:p>
    <w:p w14:paraId="680BB6BA" w14:textId="4FC1D63F" w:rsidR="00525927" w:rsidRPr="00F553AD" w:rsidRDefault="00525927" w:rsidP="00F553AD">
      <w:pPr>
        <w:pStyle w:val="Sinespaciado"/>
        <w:numPr>
          <w:ilvl w:val="0"/>
          <w:numId w:val="3"/>
        </w:numPr>
        <w:jc w:val="both"/>
        <w:rPr>
          <w:i/>
          <w:iCs/>
          <w:sz w:val="24"/>
          <w:szCs w:val="24"/>
          <w:lang w:val="es-CO"/>
        </w:rPr>
      </w:pPr>
      <w:r w:rsidRPr="00F553AD">
        <w:rPr>
          <w:i/>
          <w:iCs/>
          <w:sz w:val="24"/>
          <w:szCs w:val="24"/>
          <w:lang w:val="es-CO"/>
        </w:rPr>
        <w:t>El desempeño crediticio se está deteriorando a medida que finalizan los programas de alivio para muchos consumidores.</w:t>
      </w:r>
    </w:p>
    <w:p w14:paraId="3EEDF223" w14:textId="70BB705F" w:rsidR="004D591A" w:rsidRPr="00F553AD" w:rsidRDefault="004D591A" w:rsidP="00146172">
      <w:pPr>
        <w:pStyle w:val="Sinespaciado"/>
        <w:jc w:val="both"/>
        <w:rPr>
          <w:lang w:val="es-ES"/>
        </w:rPr>
      </w:pPr>
    </w:p>
    <w:p w14:paraId="0291C4E5" w14:textId="2D3B3539" w:rsidR="00146172" w:rsidRDefault="008A5689" w:rsidP="00146172">
      <w:pPr>
        <w:pStyle w:val="Sinespaciado"/>
        <w:jc w:val="both"/>
        <w:rPr>
          <w:rFonts w:eastAsia="Arial" w:cstheme="minorHAnsi"/>
          <w:sz w:val="24"/>
          <w:szCs w:val="24"/>
          <w:lang w:val="es-ES"/>
        </w:rPr>
      </w:pPr>
      <w:r w:rsidRPr="00F553AD">
        <w:rPr>
          <w:rFonts w:eastAsia="Arial" w:cstheme="minorHAnsi"/>
          <w:b/>
          <w:sz w:val="24"/>
          <w:szCs w:val="24"/>
          <w:lang w:val="es-ES"/>
        </w:rPr>
        <w:t>Bogot</w:t>
      </w:r>
      <w:r w:rsidR="008B75BE" w:rsidRPr="00F553AD">
        <w:rPr>
          <w:rFonts w:eastAsia="Arial" w:cstheme="minorHAnsi"/>
          <w:b/>
          <w:sz w:val="24"/>
          <w:szCs w:val="24"/>
          <w:lang w:val="es-ES"/>
        </w:rPr>
        <w:t>á</w:t>
      </w:r>
      <w:r w:rsidRPr="00F553AD">
        <w:rPr>
          <w:rFonts w:eastAsia="Arial" w:cstheme="minorHAnsi"/>
          <w:b/>
          <w:sz w:val="24"/>
          <w:szCs w:val="24"/>
          <w:lang w:val="es-ES"/>
        </w:rPr>
        <w:t xml:space="preserve">, </w:t>
      </w:r>
      <w:r w:rsidR="00525927" w:rsidRPr="00F553AD">
        <w:rPr>
          <w:rFonts w:eastAsia="Arial" w:cstheme="minorHAnsi"/>
          <w:b/>
          <w:sz w:val="24"/>
          <w:szCs w:val="24"/>
          <w:lang w:val="es-ES"/>
        </w:rPr>
        <w:t>mayo</w:t>
      </w:r>
      <w:r w:rsidRPr="00F553AD">
        <w:rPr>
          <w:rFonts w:eastAsia="Arial" w:cstheme="minorHAnsi"/>
          <w:b/>
          <w:sz w:val="24"/>
          <w:szCs w:val="24"/>
          <w:lang w:val="es-ES"/>
        </w:rPr>
        <w:t xml:space="preserve"> </w:t>
      </w:r>
      <w:r w:rsidR="008B75BE" w:rsidRPr="00F553AD">
        <w:rPr>
          <w:rFonts w:eastAsia="Arial" w:cstheme="minorHAnsi"/>
          <w:b/>
          <w:sz w:val="24"/>
          <w:szCs w:val="24"/>
          <w:lang w:val="es-ES"/>
        </w:rPr>
        <w:t>25</w:t>
      </w:r>
      <w:r w:rsidRPr="00F553AD">
        <w:rPr>
          <w:rFonts w:eastAsia="Arial" w:cstheme="minorHAnsi"/>
          <w:b/>
          <w:sz w:val="24"/>
          <w:szCs w:val="24"/>
          <w:lang w:val="es-ES"/>
        </w:rPr>
        <w:t>, 2021</w:t>
      </w:r>
      <w:r w:rsidRPr="00F553AD">
        <w:rPr>
          <w:rFonts w:eastAsia="Arial" w:cstheme="minorHAnsi"/>
          <w:sz w:val="24"/>
          <w:szCs w:val="24"/>
          <w:lang w:val="es-ES"/>
        </w:rPr>
        <w:t xml:space="preserve"> – </w:t>
      </w:r>
      <w:r w:rsidR="00F553AD">
        <w:rPr>
          <w:rFonts w:eastAsia="Arial" w:cstheme="minorHAnsi"/>
          <w:sz w:val="24"/>
          <w:szCs w:val="24"/>
          <w:lang w:val="es-ES"/>
        </w:rPr>
        <w:t>U</w:t>
      </w:r>
      <w:r w:rsidR="00F553AD" w:rsidRPr="00F553AD">
        <w:rPr>
          <w:rFonts w:eastAsia="Arial" w:cstheme="minorHAnsi"/>
          <w:sz w:val="24"/>
          <w:szCs w:val="24"/>
          <w:lang w:val="es-ES"/>
        </w:rPr>
        <w:t>na d</w:t>
      </w:r>
      <w:r w:rsidR="00F553AD" w:rsidRPr="00F553AD">
        <w:rPr>
          <w:rFonts w:eastAsia="Times New Roman" w:cstheme="minorHAnsi"/>
          <w:bCs/>
          <w:sz w:val="24"/>
          <w:szCs w:val="24"/>
          <w:lang w:val="es-ES"/>
        </w:rPr>
        <w:t>esaceleración en nuevos créditos, reducción del gasto de los consumidores en sus tarjetas de crédito y aumento de la morosidad, hallazgos que revelan signos de vulnerabilidad en el mercado de crédito colombiano</w:t>
      </w:r>
      <w:r w:rsidR="00146172">
        <w:rPr>
          <w:rFonts w:eastAsia="Times New Roman" w:cstheme="minorHAnsi"/>
          <w:bCs/>
          <w:sz w:val="24"/>
          <w:szCs w:val="24"/>
          <w:lang w:val="es-ES"/>
        </w:rPr>
        <w:t xml:space="preserve">, son los puntos más relevantes que destaca </w:t>
      </w:r>
      <w:r w:rsidR="00525927" w:rsidRPr="00F553AD">
        <w:rPr>
          <w:rFonts w:eastAsia="Arial" w:cstheme="minorHAnsi"/>
          <w:sz w:val="24"/>
          <w:szCs w:val="24"/>
          <w:lang w:val="es-ES"/>
        </w:rPr>
        <w:t xml:space="preserve">TransUnion </w:t>
      </w:r>
      <w:r w:rsidR="00146172">
        <w:rPr>
          <w:rFonts w:eastAsia="Arial" w:cstheme="minorHAnsi"/>
          <w:sz w:val="24"/>
          <w:szCs w:val="24"/>
          <w:lang w:val="es-ES"/>
        </w:rPr>
        <w:t xml:space="preserve">en </w:t>
      </w:r>
      <w:r w:rsidR="00525927" w:rsidRPr="00F553AD">
        <w:rPr>
          <w:rFonts w:eastAsia="Arial" w:cstheme="minorHAnsi"/>
          <w:sz w:val="24"/>
          <w:szCs w:val="24"/>
          <w:lang w:val="es-ES"/>
        </w:rPr>
        <w:t xml:space="preserve">su Informe de Tendencias de la Industria de </w:t>
      </w:r>
      <w:r w:rsidR="00F17B79" w:rsidRPr="00F553AD">
        <w:rPr>
          <w:rFonts w:eastAsia="Arial" w:cstheme="minorHAnsi"/>
          <w:sz w:val="24"/>
          <w:szCs w:val="24"/>
          <w:lang w:val="es-ES"/>
        </w:rPr>
        <w:t>C</w:t>
      </w:r>
      <w:r w:rsidR="00525927" w:rsidRPr="00F553AD">
        <w:rPr>
          <w:rFonts w:eastAsia="Arial" w:cstheme="minorHAnsi"/>
          <w:sz w:val="24"/>
          <w:szCs w:val="24"/>
          <w:lang w:val="es-ES"/>
        </w:rPr>
        <w:t>rédito del primer trimestre de 2021.</w:t>
      </w:r>
      <w:r w:rsidR="00F17B79" w:rsidRPr="00F553AD">
        <w:rPr>
          <w:rFonts w:eastAsia="Arial" w:cstheme="minorHAnsi"/>
          <w:sz w:val="24"/>
          <w:szCs w:val="24"/>
          <w:lang w:val="es-ES"/>
        </w:rPr>
        <w:t xml:space="preserve"> </w:t>
      </w:r>
    </w:p>
    <w:p w14:paraId="53758FBE" w14:textId="77777777" w:rsidR="00146172" w:rsidRDefault="00146172" w:rsidP="00146172">
      <w:pPr>
        <w:pStyle w:val="Sinespaciado"/>
        <w:jc w:val="both"/>
        <w:rPr>
          <w:rFonts w:eastAsia="Arial" w:cstheme="minorHAnsi"/>
          <w:sz w:val="24"/>
          <w:szCs w:val="24"/>
          <w:lang w:val="es-ES"/>
        </w:rPr>
      </w:pPr>
    </w:p>
    <w:p w14:paraId="1F3672D8" w14:textId="4197DA44" w:rsidR="00BB2853" w:rsidRPr="00146172" w:rsidRDefault="00BB2853" w:rsidP="00146172">
      <w:pPr>
        <w:pStyle w:val="Sinespaciado"/>
        <w:jc w:val="both"/>
        <w:rPr>
          <w:rFonts w:eastAsia="Times New Roman" w:cstheme="minorHAnsi"/>
          <w:bCs/>
          <w:i/>
          <w:iCs/>
          <w:sz w:val="24"/>
          <w:szCs w:val="24"/>
          <w:lang w:val="es-ES"/>
        </w:rPr>
      </w:pPr>
      <w:r w:rsidRPr="00146172">
        <w:rPr>
          <w:rFonts w:eastAsia="Times New Roman" w:cstheme="minorHAnsi"/>
          <w:bCs/>
          <w:i/>
          <w:iCs/>
          <w:sz w:val="24"/>
          <w:szCs w:val="24"/>
          <w:lang w:val="es-ES"/>
        </w:rPr>
        <w:t xml:space="preserve">"El impacto económico generado por la pandemia del COVID-19 continúa </w:t>
      </w:r>
      <w:r w:rsidR="005F690C" w:rsidRPr="00146172">
        <w:rPr>
          <w:rFonts w:eastAsia="Times New Roman" w:cstheme="minorHAnsi"/>
          <w:bCs/>
          <w:i/>
          <w:iCs/>
          <w:sz w:val="24"/>
          <w:szCs w:val="24"/>
          <w:lang w:val="es-ES"/>
        </w:rPr>
        <w:t>generando</w:t>
      </w:r>
      <w:r w:rsidRPr="00146172">
        <w:rPr>
          <w:rFonts w:eastAsia="Times New Roman" w:cstheme="minorHAnsi"/>
          <w:bCs/>
          <w:i/>
          <w:iCs/>
          <w:sz w:val="24"/>
          <w:szCs w:val="24"/>
          <w:lang w:val="es-ES"/>
        </w:rPr>
        <w:t xml:space="preserve"> desafíos para los consumidores en el mercado crediticio colombiano", dijo Virginia Olivella, </w:t>
      </w:r>
      <w:r w:rsidR="00AF1042" w:rsidRPr="00146172">
        <w:rPr>
          <w:rFonts w:eastAsia="Times New Roman" w:cstheme="minorHAnsi"/>
          <w:bCs/>
          <w:i/>
          <w:iCs/>
          <w:sz w:val="24"/>
          <w:szCs w:val="24"/>
          <w:lang w:val="es-ES"/>
        </w:rPr>
        <w:t>D</w:t>
      </w:r>
      <w:r w:rsidRPr="00146172">
        <w:rPr>
          <w:rFonts w:eastAsia="Times New Roman" w:cstheme="minorHAnsi"/>
          <w:bCs/>
          <w:i/>
          <w:iCs/>
          <w:sz w:val="24"/>
          <w:szCs w:val="24"/>
          <w:lang w:val="es-ES"/>
        </w:rPr>
        <w:t xml:space="preserve">irectora de </w:t>
      </w:r>
      <w:r w:rsidR="00AF1042" w:rsidRPr="00146172">
        <w:rPr>
          <w:rFonts w:eastAsia="Times New Roman" w:cstheme="minorHAnsi"/>
          <w:bCs/>
          <w:i/>
          <w:iCs/>
          <w:sz w:val="24"/>
          <w:szCs w:val="24"/>
          <w:lang w:val="es-ES"/>
        </w:rPr>
        <w:t>I</w:t>
      </w:r>
      <w:r w:rsidRPr="00146172">
        <w:rPr>
          <w:rFonts w:eastAsia="Times New Roman" w:cstheme="minorHAnsi"/>
          <w:bCs/>
          <w:i/>
          <w:iCs/>
          <w:sz w:val="24"/>
          <w:szCs w:val="24"/>
          <w:lang w:val="es-ES"/>
        </w:rPr>
        <w:t xml:space="preserve">nvestigación y </w:t>
      </w:r>
      <w:r w:rsidR="00AF1042" w:rsidRPr="00146172">
        <w:rPr>
          <w:rFonts w:eastAsia="Times New Roman" w:cstheme="minorHAnsi"/>
          <w:bCs/>
          <w:i/>
          <w:iCs/>
          <w:sz w:val="24"/>
          <w:szCs w:val="24"/>
          <w:lang w:val="es-ES"/>
        </w:rPr>
        <w:t>C</w:t>
      </w:r>
      <w:r w:rsidRPr="00146172">
        <w:rPr>
          <w:rFonts w:eastAsia="Times New Roman" w:cstheme="minorHAnsi"/>
          <w:bCs/>
          <w:i/>
          <w:iCs/>
          <w:sz w:val="24"/>
          <w:szCs w:val="24"/>
          <w:lang w:val="es-ES"/>
        </w:rPr>
        <w:t xml:space="preserve">onsultoría de TransUnion Colombia. "Estamos viendo a los consumidores </w:t>
      </w:r>
      <w:r w:rsidR="00F17B79" w:rsidRPr="00146172">
        <w:rPr>
          <w:rFonts w:eastAsia="Times New Roman" w:cstheme="minorHAnsi"/>
          <w:bCs/>
          <w:i/>
          <w:iCs/>
          <w:sz w:val="24"/>
          <w:szCs w:val="24"/>
          <w:lang w:val="es-ES"/>
        </w:rPr>
        <w:t xml:space="preserve">siendo </w:t>
      </w:r>
      <w:r w:rsidR="00E520E7" w:rsidRPr="00146172">
        <w:rPr>
          <w:rFonts w:eastAsia="Times New Roman" w:cstheme="minorHAnsi"/>
          <w:bCs/>
          <w:i/>
          <w:iCs/>
          <w:sz w:val="24"/>
          <w:szCs w:val="24"/>
          <w:lang w:val="es-ES"/>
        </w:rPr>
        <w:t xml:space="preserve">más </w:t>
      </w:r>
      <w:r w:rsidR="007243F4" w:rsidRPr="00146172">
        <w:rPr>
          <w:rFonts w:eastAsia="Times New Roman" w:cstheme="minorHAnsi"/>
          <w:bCs/>
          <w:i/>
          <w:iCs/>
          <w:sz w:val="24"/>
          <w:szCs w:val="24"/>
          <w:lang w:val="es-ES"/>
        </w:rPr>
        <w:t>cautelosos</w:t>
      </w:r>
      <w:r w:rsidRPr="00146172">
        <w:rPr>
          <w:rFonts w:eastAsia="Times New Roman" w:cstheme="minorHAnsi"/>
          <w:bCs/>
          <w:i/>
          <w:iCs/>
          <w:sz w:val="24"/>
          <w:szCs w:val="24"/>
          <w:lang w:val="es-ES"/>
        </w:rPr>
        <w:t xml:space="preserve"> en el uso del crédito</w:t>
      </w:r>
      <w:r w:rsidR="00E520E7" w:rsidRPr="00146172">
        <w:rPr>
          <w:rFonts w:eastAsia="Times New Roman" w:cstheme="minorHAnsi"/>
          <w:bCs/>
          <w:i/>
          <w:iCs/>
          <w:sz w:val="24"/>
          <w:szCs w:val="24"/>
          <w:lang w:val="es-ES"/>
        </w:rPr>
        <w:t xml:space="preserve">, </w:t>
      </w:r>
      <w:r w:rsidR="00F17B79" w:rsidRPr="00146172">
        <w:rPr>
          <w:rFonts w:eastAsia="Times New Roman" w:cstheme="minorHAnsi"/>
          <w:bCs/>
          <w:i/>
          <w:iCs/>
          <w:sz w:val="24"/>
          <w:szCs w:val="24"/>
          <w:lang w:val="es-ES"/>
        </w:rPr>
        <w:t xml:space="preserve">con </w:t>
      </w:r>
      <w:r w:rsidRPr="00146172">
        <w:rPr>
          <w:rFonts w:eastAsia="Times New Roman" w:cstheme="minorHAnsi"/>
          <w:bCs/>
          <w:i/>
          <w:iCs/>
          <w:sz w:val="24"/>
          <w:szCs w:val="24"/>
          <w:lang w:val="es-ES"/>
        </w:rPr>
        <w:t xml:space="preserve">una menor demanda y un gasto reducido. Adicionalmente, a medida que muchos consumidores </w:t>
      </w:r>
      <w:r w:rsidR="00F17B79" w:rsidRPr="00146172">
        <w:rPr>
          <w:rFonts w:eastAsia="Times New Roman" w:cstheme="minorHAnsi"/>
          <w:bCs/>
          <w:i/>
          <w:iCs/>
          <w:sz w:val="24"/>
          <w:szCs w:val="24"/>
          <w:lang w:val="es-ES"/>
        </w:rPr>
        <w:t xml:space="preserve">terminan sus períodos de </w:t>
      </w:r>
      <w:r w:rsidR="00464C38" w:rsidRPr="00146172">
        <w:rPr>
          <w:rFonts w:eastAsia="Times New Roman" w:cstheme="minorHAnsi"/>
          <w:bCs/>
          <w:i/>
          <w:iCs/>
          <w:sz w:val="24"/>
          <w:szCs w:val="24"/>
          <w:lang w:val="es-ES"/>
        </w:rPr>
        <w:t xml:space="preserve">alivio financiero, </w:t>
      </w:r>
      <w:r w:rsidRPr="00146172">
        <w:rPr>
          <w:rFonts w:eastAsia="Times New Roman" w:cstheme="minorHAnsi"/>
          <w:bCs/>
          <w:i/>
          <w:iCs/>
          <w:sz w:val="24"/>
          <w:szCs w:val="24"/>
          <w:lang w:val="es-ES"/>
        </w:rPr>
        <w:t>estamos viendo que el desempeño crediticio general empeora."</w:t>
      </w:r>
    </w:p>
    <w:p w14:paraId="5DCF0E65" w14:textId="68D6FFFA" w:rsidR="00464C38" w:rsidRPr="00F553AD" w:rsidRDefault="00146172" w:rsidP="00FC6A91">
      <w:pPr>
        <w:spacing w:before="180" w:after="240" w:line="240" w:lineRule="auto"/>
        <w:jc w:val="both"/>
        <w:rPr>
          <w:rFonts w:eastAsia="Times New Roman" w:cstheme="minorHAnsi"/>
          <w:b/>
          <w:i/>
          <w:sz w:val="24"/>
          <w:szCs w:val="24"/>
          <w:lang w:val="es-ES"/>
        </w:rPr>
      </w:pPr>
      <w:r>
        <w:rPr>
          <w:rFonts w:eastAsia="Times New Roman" w:cstheme="minorHAnsi"/>
          <w:b/>
          <w:i/>
          <w:sz w:val="24"/>
          <w:szCs w:val="24"/>
          <w:lang w:val="es-ES"/>
        </w:rPr>
        <w:t xml:space="preserve">Cautela de consumidores con </w:t>
      </w:r>
      <w:r w:rsidR="00464C38" w:rsidRPr="00F553AD">
        <w:rPr>
          <w:rFonts w:eastAsia="Times New Roman" w:cstheme="minorHAnsi"/>
          <w:b/>
          <w:i/>
          <w:sz w:val="24"/>
          <w:szCs w:val="24"/>
          <w:lang w:val="es-ES"/>
        </w:rPr>
        <w:t>las tarjetas de crédito</w:t>
      </w:r>
    </w:p>
    <w:p w14:paraId="38F0AC0E" w14:textId="4FE8BFD1" w:rsidR="00FD6BF3" w:rsidRPr="00F553AD" w:rsidRDefault="00464C38" w:rsidP="00FC6A91">
      <w:pPr>
        <w:spacing w:before="180" w:after="240" w:line="240" w:lineRule="auto"/>
        <w:jc w:val="both"/>
        <w:rPr>
          <w:rFonts w:eastAsia="Times New Roman" w:cstheme="minorHAnsi"/>
          <w:bCs/>
          <w:sz w:val="24"/>
          <w:szCs w:val="24"/>
          <w:lang w:val="es-ES"/>
        </w:rPr>
      </w:pPr>
      <w:r w:rsidRPr="00F553AD">
        <w:rPr>
          <w:rFonts w:eastAsia="Times New Roman" w:cstheme="minorHAnsi"/>
          <w:bCs/>
          <w:sz w:val="24"/>
          <w:szCs w:val="24"/>
          <w:lang w:val="es-ES"/>
        </w:rPr>
        <w:t xml:space="preserve">En el primer trimestre de 2021, el saldo promedio </w:t>
      </w:r>
      <w:r w:rsidR="00307DA4" w:rsidRPr="00F553AD">
        <w:rPr>
          <w:rFonts w:eastAsia="Times New Roman" w:cstheme="minorHAnsi"/>
          <w:bCs/>
          <w:sz w:val="24"/>
          <w:szCs w:val="24"/>
          <w:lang w:val="es-ES"/>
        </w:rPr>
        <w:t xml:space="preserve">por consumidor en </w:t>
      </w:r>
      <w:r w:rsidRPr="00F553AD">
        <w:rPr>
          <w:rFonts w:eastAsia="Times New Roman" w:cstheme="minorHAnsi"/>
          <w:bCs/>
          <w:sz w:val="24"/>
          <w:szCs w:val="24"/>
          <w:lang w:val="es-ES"/>
        </w:rPr>
        <w:t xml:space="preserve">tarjetas de crédito </w:t>
      </w:r>
      <w:r w:rsidR="00307DA4" w:rsidRPr="00F553AD">
        <w:rPr>
          <w:rFonts w:eastAsia="Times New Roman" w:cstheme="minorHAnsi"/>
          <w:bCs/>
          <w:sz w:val="24"/>
          <w:szCs w:val="24"/>
          <w:lang w:val="es-ES"/>
        </w:rPr>
        <w:t xml:space="preserve">se redujo </w:t>
      </w:r>
      <w:r w:rsidRPr="00F553AD">
        <w:rPr>
          <w:rFonts w:eastAsia="Times New Roman" w:cstheme="minorHAnsi"/>
          <w:bCs/>
          <w:sz w:val="24"/>
          <w:szCs w:val="24"/>
          <w:lang w:val="es-ES"/>
        </w:rPr>
        <w:t>un 2,5%</w:t>
      </w:r>
      <w:r w:rsidR="00BA1A44" w:rsidRPr="00F553AD">
        <w:rPr>
          <w:rFonts w:eastAsia="Times New Roman" w:cstheme="minorHAnsi"/>
          <w:bCs/>
          <w:sz w:val="24"/>
          <w:szCs w:val="24"/>
          <w:lang w:val="es-ES"/>
        </w:rPr>
        <w:t xml:space="preserve"> año contra año</w:t>
      </w:r>
      <w:r w:rsidR="007243F4" w:rsidRPr="00F553AD">
        <w:rPr>
          <w:rFonts w:eastAsia="Times New Roman" w:cstheme="minorHAnsi"/>
          <w:bCs/>
          <w:sz w:val="24"/>
          <w:szCs w:val="24"/>
          <w:lang w:val="es-ES"/>
        </w:rPr>
        <w:t xml:space="preserve">, </w:t>
      </w:r>
      <w:r w:rsidRPr="00F553AD">
        <w:rPr>
          <w:rFonts w:eastAsia="Times New Roman" w:cstheme="minorHAnsi"/>
          <w:bCs/>
          <w:sz w:val="24"/>
          <w:szCs w:val="24"/>
          <w:lang w:val="es-ES"/>
        </w:rPr>
        <w:t xml:space="preserve">frente al crecimiento anual positivo del 7,2% observado en el primer trimestre de 2020. Mientras tanto, el saldo promedio </w:t>
      </w:r>
      <w:r w:rsidR="00BA1A44" w:rsidRPr="00F553AD">
        <w:rPr>
          <w:rFonts w:eastAsia="Times New Roman" w:cstheme="minorHAnsi"/>
          <w:bCs/>
          <w:sz w:val="24"/>
          <w:szCs w:val="24"/>
          <w:lang w:val="es-ES"/>
        </w:rPr>
        <w:t xml:space="preserve">por consumidor </w:t>
      </w:r>
      <w:r w:rsidRPr="00F553AD">
        <w:rPr>
          <w:rFonts w:eastAsia="Times New Roman" w:cstheme="minorHAnsi"/>
          <w:bCs/>
          <w:sz w:val="24"/>
          <w:szCs w:val="24"/>
          <w:lang w:val="es-ES"/>
        </w:rPr>
        <w:t xml:space="preserve">de los </w:t>
      </w:r>
      <w:r w:rsidR="00BA1A44" w:rsidRPr="00F553AD">
        <w:rPr>
          <w:rFonts w:eastAsia="Times New Roman" w:cstheme="minorHAnsi"/>
          <w:bCs/>
          <w:sz w:val="24"/>
          <w:szCs w:val="24"/>
          <w:lang w:val="es-ES"/>
        </w:rPr>
        <w:t xml:space="preserve">créditos </w:t>
      </w:r>
      <w:r w:rsidRPr="00F553AD">
        <w:rPr>
          <w:rFonts w:eastAsia="Times New Roman" w:cstheme="minorHAnsi"/>
          <w:bCs/>
          <w:sz w:val="24"/>
          <w:szCs w:val="24"/>
          <w:lang w:val="es-ES"/>
        </w:rPr>
        <w:t xml:space="preserve">personales aumentó un 6,5% en el primer trimestre de 2021, en comparación con el crecimiento anual </w:t>
      </w:r>
      <w:r w:rsidR="00BA1A44" w:rsidRPr="00F553AD">
        <w:rPr>
          <w:rFonts w:eastAsia="Times New Roman" w:cstheme="minorHAnsi"/>
          <w:bCs/>
          <w:sz w:val="24"/>
          <w:szCs w:val="24"/>
          <w:lang w:val="es-ES"/>
        </w:rPr>
        <w:t xml:space="preserve">de </w:t>
      </w:r>
      <w:r w:rsidRPr="00F553AD">
        <w:rPr>
          <w:rFonts w:eastAsia="Times New Roman" w:cstheme="minorHAnsi"/>
          <w:bCs/>
          <w:sz w:val="24"/>
          <w:szCs w:val="24"/>
          <w:lang w:val="es-ES"/>
        </w:rPr>
        <w:t xml:space="preserve">8,3% </w:t>
      </w:r>
      <w:r w:rsidR="00BA1A44" w:rsidRPr="00F553AD">
        <w:rPr>
          <w:rFonts w:eastAsia="Times New Roman" w:cstheme="minorHAnsi"/>
          <w:bCs/>
          <w:sz w:val="24"/>
          <w:szCs w:val="24"/>
          <w:lang w:val="es-ES"/>
        </w:rPr>
        <w:t xml:space="preserve">observado </w:t>
      </w:r>
      <w:r w:rsidRPr="00F553AD">
        <w:rPr>
          <w:rFonts w:eastAsia="Times New Roman" w:cstheme="minorHAnsi"/>
          <w:bCs/>
          <w:sz w:val="24"/>
          <w:szCs w:val="24"/>
          <w:lang w:val="es-ES"/>
        </w:rPr>
        <w:t xml:space="preserve">en el primer trimestre de 2020. </w:t>
      </w:r>
    </w:p>
    <w:p w14:paraId="5DF198B2" w14:textId="1782AD1A" w:rsidR="005533FC" w:rsidRPr="00F553AD" w:rsidRDefault="00464C38" w:rsidP="00FC6A91">
      <w:pPr>
        <w:spacing w:before="180" w:after="240" w:line="240" w:lineRule="auto"/>
        <w:jc w:val="both"/>
        <w:rPr>
          <w:rFonts w:eastAsia="Times New Roman" w:cstheme="minorHAnsi"/>
          <w:bCs/>
          <w:sz w:val="24"/>
          <w:szCs w:val="24"/>
          <w:lang w:val="es-ES"/>
        </w:rPr>
      </w:pPr>
      <w:r w:rsidRPr="00F553AD">
        <w:rPr>
          <w:rFonts w:eastAsia="Times New Roman" w:cstheme="minorHAnsi"/>
          <w:bCs/>
          <w:sz w:val="24"/>
          <w:szCs w:val="24"/>
          <w:lang w:val="es-ES"/>
        </w:rPr>
        <w:t xml:space="preserve">Sin embargo, las tendencias de crecimiento de los saldos no fueron uniformes </w:t>
      </w:r>
      <w:r w:rsidR="00307DA4" w:rsidRPr="00F553AD">
        <w:rPr>
          <w:rFonts w:eastAsia="Times New Roman" w:cstheme="minorHAnsi"/>
          <w:bCs/>
          <w:sz w:val="24"/>
          <w:szCs w:val="24"/>
          <w:lang w:val="es-ES"/>
        </w:rPr>
        <w:t xml:space="preserve">para </w:t>
      </w:r>
      <w:r w:rsidRPr="00F553AD">
        <w:rPr>
          <w:rFonts w:eastAsia="Times New Roman" w:cstheme="minorHAnsi"/>
          <w:bCs/>
          <w:sz w:val="24"/>
          <w:szCs w:val="24"/>
          <w:lang w:val="es-ES"/>
        </w:rPr>
        <w:t>todos los niveles de riesgo. Los consumidores con niveles de riesgo</w:t>
      </w:r>
      <w:r w:rsidR="00CA167A" w:rsidRPr="00F553AD">
        <w:rPr>
          <w:rFonts w:eastAsia="Times New Roman" w:cstheme="minorHAnsi"/>
          <w:bCs/>
          <w:sz w:val="24"/>
          <w:szCs w:val="24"/>
          <w:lang w:val="es-ES"/>
        </w:rPr>
        <w:t xml:space="preserve"> alto</w:t>
      </w:r>
      <w:r w:rsidR="00FC6A91" w:rsidRPr="00F553AD">
        <w:rPr>
          <w:rFonts w:eastAsia="Times New Roman" w:cstheme="minorHAnsi"/>
          <w:bCs/>
          <w:sz w:val="24"/>
          <w:szCs w:val="24"/>
          <w:lang w:val="es-ES"/>
        </w:rPr>
        <w:t xml:space="preserve"> </w:t>
      </w:r>
      <w:r w:rsidR="00CA167A" w:rsidRPr="00F553AD">
        <w:rPr>
          <w:rFonts w:eastAsia="Times New Roman" w:cstheme="minorHAnsi"/>
          <w:bCs/>
          <w:sz w:val="24"/>
          <w:szCs w:val="24"/>
          <w:lang w:val="es-ES"/>
        </w:rPr>
        <w:t>(</w:t>
      </w:r>
      <w:proofErr w:type="spellStart"/>
      <w:r w:rsidRPr="00F553AD">
        <w:rPr>
          <w:rFonts w:eastAsia="Times New Roman" w:cstheme="minorHAnsi"/>
          <w:bCs/>
          <w:sz w:val="24"/>
          <w:szCs w:val="24"/>
          <w:lang w:val="es-ES"/>
        </w:rPr>
        <w:t>below</w:t>
      </w:r>
      <w:proofErr w:type="spellEnd"/>
      <w:r w:rsidRPr="00F553AD">
        <w:rPr>
          <w:rFonts w:eastAsia="Times New Roman" w:cstheme="minorHAnsi"/>
          <w:bCs/>
          <w:sz w:val="24"/>
          <w:szCs w:val="24"/>
          <w:lang w:val="es-ES"/>
        </w:rPr>
        <w:t xml:space="preserve"> prime</w:t>
      </w:r>
      <w:r w:rsidR="00DA7123" w:rsidRPr="00F553AD">
        <w:rPr>
          <w:rStyle w:val="Refdenotaalpie"/>
          <w:rFonts w:eastAsia="Times New Roman" w:cstheme="minorHAnsi"/>
          <w:bCs/>
          <w:sz w:val="24"/>
          <w:szCs w:val="24"/>
          <w:lang w:val="es-ES"/>
        </w:rPr>
        <w:footnoteReference w:id="1"/>
      </w:r>
      <w:r w:rsidR="00307DA4" w:rsidRPr="00F553AD">
        <w:rPr>
          <w:rFonts w:eastAsia="Times New Roman" w:cstheme="minorHAnsi"/>
          <w:bCs/>
          <w:sz w:val="24"/>
          <w:szCs w:val="24"/>
          <w:lang w:val="es-ES"/>
        </w:rPr>
        <w:t xml:space="preserve">) </w:t>
      </w:r>
      <w:r w:rsidRPr="00F553AD">
        <w:rPr>
          <w:rFonts w:eastAsia="Times New Roman" w:cstheme="minorHAnsi"/>
          <w:bCs/>
          <w:sz w:val="24"/>
          <w:szCs w:val="24"/>
          <w:lang w:val="es-ES"/>
        </w:rPr>
        <w:t xml:space="preserve">aumentaron significativamente </w:t>
      </w:r>
      <w:r w:rsidR="00307DA4" w:rsidRPr="00F553AD">
        <w:rPr>
          <w:rFonts w:eastAsia="Times New Roman" w:cstheme="minorHAnsi"/>
          <w:bCs/>
          <w:sz w:val="24"/>
          <w:szCs w:val="24"/>
          <w:lang w:val="es-ES"/>
        </w:rPr>
        <w:t xml:space="preserve">su </w:t>
      </w:r>
      <w:r w:rsidRPr="00F553AD">
        <w:rPr>
          <w:rFonts w:eastAsia="Times New Roman" w:cstheme="minorHAnsi"/>
          <w:bCs/>
          <w:sz w:val="24"/>
          <w:szCs w:val="24"/>
          <w:lang w:val="es-ES"/>
        </w:rPr>
        <w:t xml:space="preserve">deuda </w:t>
      </w:r>
      <w:r w:rsidR="00307DA4" w:rsidRPr="00F553AD">
        <w:rPr>
          <w:rFonts w:eastAsia="Times New Roman" w:cstheme="minorHAnsi"/>
          <w:bCs/>
          <w:sz w:val="24"/>
          <w:szCs w:val="24"/>
          <w:lang w:val="es-ES"/>
        </w:rPr>
        <w:t xml:space="preserve">tanto en </w:t>
      </w:r>
      <w:r w:rsidRPr="00F553AD">
        <w:rPr>
          <w:rFonts w:eastAsia="Times New Roman" w:cstheme="minorHAnsi"/>
          <w:bCs/>
          <w:sz w:val="24"/>
          <w:szCs w:val="24"/>
          <w:lang w:val="es-ES"/>
        </w:rPr>
        <w:t xml:space="preserve">tarjetas de crédito </w:t>
      </w:r>
      <w:r w:rsidR="00307DA4" w:rsidRPr="00F553AD">
        <w:rPr>
          <w:rFonts w:eastAsia="Times New Roman" w:cstheme="minorHAnsi"/>
          <w:bCs/>
          <w:sz w:val="24"/>
          <w:szCs w:val="24"/>
          <w:lang w:val="es-ES"/>
        </w:rPr>
        <w:t xml:space="preserve">como en </w:t>
      </w:r>
      <w:r w:rsidR="00515544" w:rsidRPr="00F553AD">
        <w:rPr>
          <w:rFonts w:eastAsia="Times New Roman" w:cstheme="minorHAnsi"/>
          <w:bCs/>
          <w:sz w:val="24"/>
          <w:szCs w:val="24"/>
          <w:lang w:val="es-ES"/>
        </w:rPr>
        <w:t xml:space="preserve">créditos </w:t>
      </w:r>
      <w:r w:rsidRPr="00F553AD">
        <w:rPr>
          <w:rFonts w:eastAsia="Times New Roman" w:cstheme="minorHAnsi"/>
          <w:bCs/>
          <w:sz w:val="24"/>
          <w:szCs w:val="24"/>
          <w:lang w:val="es-ES"/>
        </w:rPr>
        <w:t xml:space="preserve">personales. </w:t>
      </w:r>
      <w:r w:rsidR="00515544" w:rsidRPr="00F553AD">
        <w:rPr>
          <w:rFonts w:eastAsia="Times New Roman" w:cstheme="minorHAnsi"/>
          <w:bCs/>
          <w:sz w:val="24"/>
          <w:szCs w:val="24"/>
          <w:lang w:val="es-ES"/>
        </w:rPr>
        <w:t xml:space="preserve">La deuda </w:t>
      </w:r>
      <w:r w:rsidR="00515544" w:rsidRPr="00F553AD">
        <w:rPr>
          <w:rFonts w:eastAsia="Times New Roman" w:cstheme="minorHAnsi"/>
          <w:bCs/>
          <w:sz w:val="24"/>
          <w:szCs w:val="24"/>
          <w:lang w:val="es-ES"/>
        </w:rPr>
        <w:lastRenderedPageBreak/>
        <w:t>promedio</w:t>
      </w:r>
      <w:r w:rsidRPr="00F553AD">
        <w:rPr>
          <w:rFonts w:eastAsia="Times New Roman" w:cstheme="minorHAnsi"/>
          <w:bCs/>
          <w:sz w:val="24"/>
          <w:szCs w:val="24"/>
          <w:lang w:val="es-ES"/>
        </w:rPr>
        <w:t xml:space="preserve"> </w:t>
      </w:r>
      <w:r w:rsidR="005712C8" w:rsidRPr="00F553AD">
        <w:rPr>
          <w:rFonts w:eastAsia="Times New Roman" w:cstheme="minorHAnsi"/>
          <w:bCs/>
          <w:sz w:val="24"/>
          <w:szCs w:val="24"/>
          <w:lang w:val="es-ES"/>
        </w:rPr>
        <w:t xml:space="preserve">en tarjetas de crédito </w:t>
      </w:r>
      <w:r w:rsidRPr="00F553AD">
        <w:rPr>
          <w:rFonts w:eastAsia="Times New Roman" w:cstheme="minorHAnsi"/>
          <w:bCs/>
          <w:sz w:val="24"/>
          <w:szCs w:val="24"/>
          <w:lang w:val="es-ES"/>
        </w:rPr>
        <w:t>para los consumidores de riesgo alto aumentó un 20,7%</w:t>
      </w:r>
      <w:r w:rsidR="00FD6BF3" w:rsidRPr="00F553AD">
        <w:rPr>
          <w:rFonts w:eastAsia="Times New Roman" w:cstheme="minorHAnsi"/>
          <w:bCs/>
          <w:sz w:val="24"/>
          <w:szCs w:val="24"/>
          <w:lang w:val="es-ES"/>
        </w:rPr>
        <w:t>, entre el primer trimestre de 2020 y el primer trimestre de 2021</w:t>
      </w:r>
      <w:r w:rsidRPr="00F553AD">
        <w:rPr>
          <w:rFonts w:eastAsia="Times New Roman" w:cstheme="minorHAnsi"/>
          <w:bCs/>
          <w:sz w:val="24"/>
          <w:szCs w:val="24"/>
          <w:lang w:val="es-ES"/>
        </w:rPr>
        <w:t xml:space="preserve">, mientras que </w:t>
      </w:r>
      <w:r w:rsidR="00515544" w:rsidRPr="00F553AD">
        <w:rPr>
          <w:rFonts w:eastAsia="Times New Roman" w:cstheme="minorHAnsi"/>
          <w:bCs/>
          <w:sz w:val="24"/>
          <w:szCs w:val="24"/>
          <w:lang w:val="es-ES"/>
        </w:rPr>
        <w:t xml:space="preserve">la deuda promedio </w:t>
      </w:r>
      <w:r w:rsidRPr="00F553AD">
        <w:rPr>
          <w:rFonts w:eastAsia="Times New Roman" w:cstheme="minorHAnsi"/>
          <w:bCs/>
          <w:sz w:val="24"/>
          <w:szCs w:val="24"/>
          <w:lang w:val="es-ES"/>
        </w:rPr>
        <w:t>en tarjetas de crédito disminu</w:t>
      </w:r>
      <w:r w:rsidR="005712C8" w:rsidRPr="00F553AD">
        <w:rPr>
          <w:rFonts w:eastAsia="Times New Roman" w:cstheme="minorHAnsi"/>
          <w:bCs/>
          <w:sz w:val="24"/>
          <w:szCs w:val="24"/>
          <w:lang w:val="es-ES"/>
        </w:rPr>
        <w:t>y</w:t>
      </w:r>
      <w:r w:rsidRPr="00F553AD">
        <w:rPr>
          <w:rFonts w:eastAsia="Times New Roman" w:cstheme="minorHAnsi"/>
          <w:bCs/>
          <w:sz w:val="24"/>
          <w:szCs w:val="24"/>
          <w:lang w:val="es-ES"/>
        </w:rPr>
        <w:t>ó 8</w:t>
      </w:r>
      <w:r w:rsidR="00515544" w:rsidRPr="00F553AD">
        <w:rPr>
          <w:rFonts w:eastAsia="Times New Roman" w:cstheme="minorHAnsi"/>
          <w:bCs/>
          <w:sz w:val="24"/>
          <w:szCs w:val="24"/>
          <w:lang w:val="es-ES"/>
        </w:rPr>
        <w:t>,</w:t>
      </w:r>
      <w:r w:rsidRPr="00F553AD">
        <w:rPr>
          <w:rFonts w:eastAsia="Times New Roman" w:cstheme="minorHAnsi"/>
          <w:bCs/>
          <w:sz w:val="24"/>
          <w:szCs w:val="24"/>
          <w:lang w:val="es-ES"/>
        </w:rPr>
        <w:t xml:space="preserve">5% </w:t>
      </w:r>
      <w:r w:rsidR="00FD6BF3" w:rsidRPr="00F553AD">
        <w:rPr>
          <w:rFonts w:eastAsia="Times New Roman" w:cstheme="minorHAnsi"/>
          <w:bCs/>
          <w:sz w:val="24"/>
          <w:szCs w:val="24"/>
          <w:lang w:val="es-ES"/>
        </w:rPr>
        <w:t>en este mismo periodo de tiempo</w:t>
      </w:r>
      <w:r w:rsidRPr="00F553AD">
        <w:rPr>
          <w:rFonts w:eastAsia="Times New Roman" w:cstheme="minorHAnsi"/>
          <w:bCs/>
          <w:sz w:val="24"/>
          <w:szCs w:val="24"/>
          <w:lang w:val="es-ES"/>
        </w:rPr>
        <w:t xml:space="preserve"> p</w:t>
      </w:r>
      <w:r w:rsidR="005712C8" w:rsidRPr="00F553AD">
        <w:rPr>
          <w:rFonts w:eastAsia="Times New Roman" w:cstheme="minorHAnsi"/>
          <w:bCs/>
          <w:sz w:val="24"/>
          <w:szCs w:val="24"/>
          <w:lang w:val="es-ES"/>
        </w:rPr>
        <w:t>ara</w:t>
      </w:r>
      <w:r w:rsidRPr="00F553AD">
        <w:rPr>
          <w:rFonts w:eastAsia="Times New Roman" w:cstheme="minorHAnsi"/>
          <w:bCs/>
          <w:sz w:val="24"/>
          <w:szCs w:val="24"/>
          <w:lang w:val="es-ES"/>
        </w:rPr>
        <w:t xml:space="preserve"> </w:t>
      </w:r>
      <w:r w:rsidR="005712C8" w:rsidRPr="00F553AD">
        <w:rPr>
          <w:rFonts w:eastAsia="Times New Roman" w:cstheme="minorHAnsi"/>
          <w:bCs/>
          <w:sz w:val="24"/>
          <w:szCs w:val="24"/>
          <w:lang w:val="es-ES"/>
        </w:rPr>
        <w:t xml:space="preserve">consumidores de </w:t>
      </w:r>
      <w:r w:rsidR="002B472D" w:rsidRPr="00F553AD">
        <w:rPr>
          <w:rFonts w:eastAsia="Times New Roman" w:cstheme="minorHAnsi"/>
          <w:bCs/>
          <w:sz w:val="24"/>
          <w:szCs w:val="24"/>
          <w:lang w:val="es-ES"/>
        </w:rPr>
        <w:t xml:space="preserve">riesgo </w:t>
      </w:r>
      <w:r w:rsidR="005712C8" w:rsidRPr="00F553AD">
        <w:rPr>
          <w:rFonts w:eastAsia="Times New Roman" w:cstheme="minorHAnsi"/>
          <w:bCs/>
          <w:sz w:val="24"/>
          <w:szCs w:val="24"/>
          <w:lang w:val="es-ES"/>
        </w:rPr>
        <w:t xml:space="preserve">medio y </w:t>
      </w:r>
      <w:r w:rsidR="00307DA4" w:rsidRPr="00F553AD">
        <w:rPr>
          <w:rFonts w:eastAsia="Times New Roman" w:cstheme="minorHAnsi"/>
          <w:bCs/>
          <w:sz w:val="24"/>
          <w:szCs w:val="24"/>
          <w:lang w:val="es-ES"/>
        </w:rPr>
        <w:t xml:space="preserve">bajo </w:t>
      </w:r>
      <w:r w:rsidR="005712C8" w:rsidRPr="00F553AD">
        <w:rPr>
          <w:rFonts w:eastAsia="Times New Roman" w:cstheme="minorHAnsi"/>
          <w:bCs/>
          <w:sz w:val="24"/>
          <w:szCs w:val="24"/>
          <w:lang w:val="es-ES"/>
        </w:rPr>
        <w:t xml:space="preserve">(prime </w:t>
      </w:r>
      <w:r w:rsidR="00DB6BD6" w:rsidRPr="00F553AD">
        <w:rPr>
          <w:rFonts w:eastAsia="Times New Roman" w:cstheme="minorHAnsi"/>
          <w:bCs/>
          <w:sz w:val="24"/>
          <w:szCs w:val="24"/>
          <w:lang w:val="es-ES"/>
        </w:rPr>
        <w:t>y mejores</w:t>
      </w:r>
      <w:r w:rsidR="005712C8" w:rsidRPr="00F553AD">
        <w:rPr>
          <w:rFonts w:eastAsia="Times New Roman" w:cstheme="minorHAnsi"/>
          <w:bCs/>
          <w:sz w:val="24"/>
          <w:szCs w:val="24"/>
          <w:lang w:val="es-ES"/>
        </w:rPr>
        <w:t xml:space="preserve">). </w:t>
      </w:r>
      <w:r w:rsidR="00DB6BD6" w:rsidRPr="00F553AD">
        <w:rPr>
          <w:rFonts w:eastAsia="Times New Roman" w:cstheme="minorHAnsi"/>
          <w:bCs/>
          <w:sz w:val="24"/>
          <w:szCs w:val="24"/>
          <w:lang w:val="es-ES"/>
        </w:rPr>
        <w:t xml:space="preserve">En el caso de </w:t>
      </w:r>
      <w:r w:rsidR="005712C8" w:rsidRPr="00F553AD">
        <w:rPr>
          <w:rFonts w:eastAsia="Times New Roman" w:cstheme="minorHAnsi"/>
          <w:bCs/>
          <w:sz w:val="24"/>
          <w:szCs w:val="24"/>
          <w:lang w:val="es-ES"/>
        </w:rPr>
        <w:t xml:space="preserve">créditos personales, </w:t>
      </w:r>
      <w:r w:rsidR="00DA7123" w:rsidRPr="00F553AD">
        <w:rPr>
          <w:rFonts w:eastAsia="Times New Roman" w:cstheme="minorHAnsi"/>
          <w:bCs/>
          <w:sz w:val="24"/>
          <w:szCs w:val="24"/>
          <w:lang w:val="es-ES"/>
        </w:rPr>
        <w:t>la deuda promedio</w:t>
      </w:r>
      <w:r w:rsidR="005712C8" w:rsidRPr="00F553AD">
        <w:rPr>
          <w:rFonts w:eastAsia="Times New Roman" w:cstheme="minorHAnsi"/>
          <w:bCs/>
          <w:sz w:val="24"/>
          <w:szCs w:val="24"/>
          <w:lang w:val="es-ES"/>
        </w:rPr>
        <w:t xml:space="preserve"> para los consumidores de riesgo alto incrementó 13,3% año contra año </w:t>
      </w:r>
      <w:r w:rsidR="005533FC" w:rsidRPr="00F553AD">
        <w:rPr>
          <w:rFonts w:eastAsia="Times New Roman" w:cstheme="minorHAnsi"/>
          <w:bCs/>
          <w:sz w:val="24"/>
          <w:szCs w:val="24"/>
          <w:lang w:val="es-ES"/>
        </w:rPr>
        <w:t>en</w:t>
      </w:r>
      <w:r w:rsidR="005712C8" w:rsidRPr="00F553AD">
        <w:rPr>
          <w:rFonts w:eastAsia="Times New Roman" w:cstheme="minorHAnsi"/>
          <w:bCs/>
          <w:sz w:val="24"/>
          <w:szCs w:val="24"/>
          <w:lang w:val="es-ES"/>
        </w:rPr>
        <w:t xml:space="preserve"> </w:t>
      </w:r>
      <w:r w:rsidR="005533FC" w:rsidRPr="00F553AD">
        <w:rPr>
          <w:rFonts w:eastAsia="Times New Roman" w:cstheme="minorHAnsi"/>
          <w:bCs/>
          <w:sz w:val="24"/>
          <w:szCs w:val="24"/>
          <w:lang w:val="es-ES"/>
        </w:rPr>
        <w:t xml:space="preserve">el </w:t>
      </w:r>
      <w:r w:rsidR="005712C8" w:rsidRPr="00F553AD">
        <w:rPr>
          <w:rFonts w:eastAsia="Times New Roman" w:cstheme="minorHAnsi"/>
          <w:bCs/>
          <w:sz w:val="24"/>
          <w:szCs w:val="24"/>
          <w:lang w:val="es-ES"/>
        </w:rPr>
        <w:t>primer trimestr</w:t>
      </w:r>
      <w:r w:rsidR="00FD6BF3" w:rsidRPr="00F553AD">
        <w:rPr>
          <w:rFonts w:eastAsia="Times New Roman" w:cstheme="minorHAnsi"/>
          <w:bCs/>
          <w:sz w:val="24"/>
          <w:szCs w:val="24"/>
          <w:lang w:val="es-ES"/>
        </w:rPr>
        <w:t>e de</w:t>
      </w:r>
      <w:r w:rsidR="005712C8" w:rsidRPr="00F553AD">
        <w:rPr>
          <w:rFonts w:eastAsia="Times New Roman" w:cstheme="minorHAnsi"/>
          <w:bCs/>
          <w:sz w:val="24"/>
          <w:szCs w:val="24"/>
          <w:lang w:val="es-ES"/>
        </w:rPr>
        <w:t xml:space="preserve"> 2021, mientras</w:t>
      </w:r>
      <w:r w:rsidR="00DA7123" w:rsidRPr="00F553AD">
        <w:rPr>
          <w:rFonts w:eastAsia="Times New Roman" w:cstheme="minorHAnsi"/>
          <w:bCs/>
          <w:sz w:val="24"/>
          <w:szCs w:val="24"/>
          <w:lang w:val="es-ES"/>
        </w:rPr>
        <w:t xml:space="preserve"> que</w:t>
      </w:r>
      <w:r w:rsidR="005712C8" w:rsidRPr="00F553AD">
        <w:rPr>
          <w:rFonts w:eastAsia="Times New Roman" w:cstheme="minorHAnsi"/>
          <w:bCs/>
          <w:sz w:val="24"/>
          <w:szCs w:val="24"/>
          <w:lang w:val="es-ES"/>
        </w:rPr>
        <w:t xml:space="preserve"> para los consumidores de </w:t>
      </w:r>
      <w:r w:rsidR="002B472D" w:rsidRPr="00F553AD">
        <w:rPr>
          <w:rFonts w:eastAsia="Times New Roman" w:cstheme="minorHAnsi"/>
          <w:bCs/>
          <w:sz w:val="24"/>
          <w:szCs w:val="24"/>
          <w:lang w:val="es-ES"/>
        </w:rPr>
        <w:t xml:space="preserve">riesgo </w:t>
      </w:r>
      <w:r w:rsidR="005712C8" w:rsidRPr="00F553AD">
        <w:rPr>
          <w:rFonts w:eastAsia="Times New Roman" w:cstheme="minorHAnsi"/>
          <w:bCs/>
          <w:sz w:val="24"/>
          <w:szCs w:val="24"/>
          <w:lang w:val="es-ES"/>
        </w:rPr>
        <w:t>medio y bajo este indicador incrementó 6,1%.</w:t>
      </w:r>
    </w:p>
    <w:p w14:paraId="210F99A5" w14:textId="4009FA7A" w:rsidR="006877B2" w:rsidRPr="00F553AD" w:rsidRDefault="00272A84" w:rsidP="000C353A">
      <w:pPr>
        <w:spacing w:before="180" w:after="240" w:line="240" w:lineRule="auto"/>
        <w:jc w:val="center"/>
        <w:rPr>
          <w:rFonts w:eastAsia="Times New Roman" w:cstheme="minorHAnsi"/>
          <w:b/>
          <w:sz w:val="20"/>
          <w:szCs w:val="20"/>
          <w:lang w:val="es-ES"/>
        </w:rPr>
      </w:pPr>
      <w:r w:rsidRPr="00F553AD">
        <w:rPr>
          <w:rFonts w:eastAsia="Times New Roman" w:cstheme="minorHAnsi"/>
          <w:b/>
          <w:sz w:val="20"/>
          <w:szCs w:val="20"/>
          <w:lang w:val="es-ES"/>
        </w:rPr>
        <w:br/>
      </w:r>
      <w:r w:rsidR="00DB6BD6" w:rsidRPr="00F553AD">
        <w:rPr>
          <w:rFonts w:eastAsia="Times New Roman" w:cstheme="minorHAnsi"/>
          <w:b/>
          <w:sz w:val="20"/>
          <w:szCs w:val="20"/>
          <w:lang w:val="es-ES"/>
        </w:rPr>
        <w:t xml:space="preserve">Variación Anual </w:t>
      </w:r>
      <w:r w:rsidR="00C133AB" w:rsidRPr="00F553AD">
        <w:rPr>
          <w:rFonts w:eastAsia="Times New Roman" w:cstheme="minorHAnsi"/>
          <w:b/>
          <w:sz w:val="20"/>
          <w:szCs w:val="20"/>
          <w:lang w:val="es-ES"/>
        </w:rPr>
        <w:t xml:space="preserve">en </w:t>
      </w:r>
      <w:r w:rsidR="00DB6BD6" w:rsidRPr="00F553AD">
        <w:rPr>
          <w:rFonts w:eastAsia="Times New Roman" w:cstheme="minorHAnsi"/>
          <w:b/>
          <w:sz w:val="20"/>
          <w:szCs w:val="20"/>
          <w:lang w:val="es-ES"/>
        </w:rPr>
        <w:t>Deud</w:t>
      </w:r>
      <w:r w:rsidR="009000B5" w:rsidRPr="00F553AD">
        <w:rPr>
          <w:rFonts w:eastAsia="Times New Roman" w:cstheme="minorHAnsi"/>
          <w:b/>
          <w:sz w:val="20"/>
          <w:szCs w:val="20"/>
          <w:lang w:val="es-ES"/>
        </w:rPr>
        <w:t xml:space="preserve">a </w:t>
      </w:r>
      <w:r w:rsidR="00DB6BD6" w:rsidRPr="00F553AD">
        <w:rPr>
          <w:rFonts w:eastAsia="Times New Roman" w:cstheme="minorHAnsi"/>
          <w:b/>
          <w:sz w:val="20"/>
          <w:szCs w:val="20"/>
          <w:lang w:val="es-ES"/>
        </w:rPr>
        <w:t>P</w:t>
      </w:r>
      <w:r w:rsidR="009000B5" w:rsidRPr="00F553AD">
        <w:rPr>
          <w:rFonts w:eastAsia="Times New Roman" w:cstheme="minorHAnsi"/>
          <w:b/>
          <w:sz w:val="20"/>
          <w:szCs w:val="20"/>
          <w:lang w:val="es-ES"/>
        </w:rPr>
        <w:t xml:space="preserve">romedio </w:t>
      </w:r>
      <w:r w:rsidR="00C133AB" w:rsidRPr="00F553AD">
        <w:rPr>
          <w:rFonts w:eastAsia="Times New Roman" w:cstheme="minorHAnsi"/>
          <w:b/>
          <w:sz w:val="20"/>
          <w:szCs w:val="20"/>
          <w:lang w:val="es-ES"/>
        </w:rPr>
        <w:t>en</w:t>
      </w:r>
      <w:r w:rsidR="009000B5" w:rsidRPr="00F553AD">
        <w:rPr>
          <w:rFonts w:eastAsia="Times New Roman" w:cstheme="minorHAnsi"/>
          <w:b/>
          <w:sz w:val="20"/>
          <w:szCs w:val="20"/>
          <w:lang w:val="es-ES"/>
        </w:rPr>
        <w:t xml:space="preserve"> </w:t>
      </w:r>
      <w:r w:rsidR="00C133AB" w:rsidRPr="00F553AD">
        <w:rPr>
          <w:rFonts w:eastAsia="Times New Roman" w:cstheme="minorHAnsi"/>
          <w:b/>
          <w:sz w:val="20"/>
          <w:szCs w:val="20"/>
          <w:lang w:val="es-ES"/>
        </w:rPr>
        <w:t>C</w:t>
      </w:r>
      <w:r w:rsidR="009000B5" w:rsidRPr="00F553AD">
        <w:rPr>
          <w:rFonts w:eastAsia="Times New Roman" w:cstheme="minorHAnsi"/>
          <w:b/>
          <w:sz w:val="20"/>
          <w:szCs w:val="20"/>
          <w:lang w:val="es-ES"/>
        </w:rPr>
        <w:t xml:space="preserve">rédito </w:t>
      </w:r>
      <w:r w:rsidR="00C133AB" w:rsidRPr="00F553AD">
        <w:rPr>
          <w:rFonts w:eastAsia="Times New Roman" w:cstheme="minorHAnsi"/>
          <w:b/>
          <w:sz w:val="20"/>
          <w:szCs w:val="20"/>
          <w:lang w:val="es-ES"/>
        </w:rPr>
        <w:t>P</w:t>
      </w:r>
      <w:r w:rsidR="009000B5" w:rsidRPr="00F553AD">
        <w:rPr>
          <w:rFonts w:eastAsia="Times New Roman" w:cstheme="minorHAnsi"/>
          <w:b/>
          <w:sz w:val="20"/>
          <w:szCs w:val="20"/>
          <w:lang w:val="es-ES"/>
        </w:rPr>
        <w:t xml:space="preserve">ersonal y </w:t>
      </w:r>
      <w:r w:rsidR="00C133AB" w:rsidRPr="00F553AD">
        <w:rPr>
          <w:rFonts w:eastAsia="Times New Roman" w:cstheme="minorHAnsi"/>
          <w:b/>
          <w:sz w:val="20"/>
          <w:szCs w:val="20"/>
          <w:lang w:val="es-ES"/>
        </w:rPr>
        <w:t>T</w:t>
      </w:r>
      <w:r w:rsidR="009000B5" w:rsidRPr="00F553AD">
        <w:rPr>
          <w:rFonts w:eastAsia="Times New Roman" w:cstheme="minorHAnsi"/>
          <w:b/>
          <w:sz w:val="20"/>
          <w:szCs w:val="20"/>
          <w:lang w:val="es-ES"/>
        </w:rPr>
        <w:t xml:space="preserve">arjeta de </w:t>
      </w:r>
      <w:r w:rsidR="00C133AB" w:rsidRPr="00F553AD">
        <w:rPr>
          <w:rFonts w:eastAsia="Times New Roman" w:cstheme="minorHAnsi"/>
          <w:b/>
          <w:sz w:val="20"/>
          <w:szCs w:val="20"/>
          <w:lang w:val="es-ES"/>
        </w:rPr>
        <w:t>C</w:t>
      </w:r>
      <w:r w:rsidR="009000B5" w:rsidRPr="00F553AD">
        <w:rPr>
          <w:rFonts w:eastAsia="Times New Roman" w:cstheme="minorHAnsi"/>
          <w:b/>
          <w:sz w:val="20"/>
          <w:szCs w:val="20"/>
          <w:lang w:val="es-ES"/>
        </w:rPr>
        <w:t>rédito</w:t>
      </w:r>
    </w:p>
    <w:tbl>
      <w:tblPr>
        <w:tblStyle w:val="Tablaconcuadrcula"/>
        <w:tblW w:w="9368" w:type="dxa"/>
        <w:jc w:val="center"/>
        <w:tblLook w:val="04A0" w:firstRow="1" w:lastRow="0" w:firstColumn="1" w:lastColumn="0" w:noHBand="0" w:noVBand="1"/>
      </w:tblPr>
      <w:tblGrid>
        <w:gridCol w:w="3002"/>
        <w:gridCol w:w="1505"/>
        <w:gridCol w:w="1525"/>
        <w:gridCol w:w="1765"/>
        <w:gridCol w:w="1571"/>
      </w:tblGrid>
      <w:tr w:rsidR="006877B2" w:rsidRPr="00F553AD" w14:paraId="2D8D6ED8" w14:textId="77777777" w:rsidTr="000C353A">
        <w:trPr>
          <w:trHeight w:val="526"/>
          <w:jc w:val="center"/>
        </w:trPr>
        <w:tc>
          <w:tcPr>
            <w:tcW w:w="3002" w:type="dxa"/>
            <w:tcBorders>
              <w:top w:val="nil"/>
              <w:left w:val="nil"/>
              <w:bottom w:val="nil"/>
              <w:right w:val="single" w:sz="4" w:space="0" w:color="auto"/>
            </w:tcBorders>
            <w:vAlign w:val="center"/>
          </w:tcPr>
          <w:p w14:paraId="6E86081C" w14:textId="77777777" w:rsidR="006877B2" w:rsidRPr="00F553AD" w:rsidRDefault="006877B2" w:rsidP="00FC6A91">
            <w:pPr>
              <w:jc w:val="both"/>
              <w:rPr>
                <w:rFonts w:asciiTheme="minorHAnsi" w:hAnsiTheme="minorHAnsi" w:cstheme="minorHAnsi"/>
                <w:b/>
                <w:color w:val="000000"/>
                <w:lang w:val="es-ES"/>
              </w:rPr>
            </w:pPr>
          </w:p>
        </w:tc>
        <w:tc>
          <w:tcPr>
            <w:tcW w:w="3030" w:type="dxa"/>
            <w:gridSpan w:val="2"/>
            <w:tcBorders>
              <w:left w:val="single" w:sz="4" w:space="0" w:color="auto"/>
              <w:bottom w:val="single" w:sz="4" w:space="0" w:color="auto"/>
            </w:tcBorders>
            <w:vAlign w:val="center"/>
          </w:tcPr>
          <w:p w14:paraId="26F20AB7" w14:textId="59DAF0C9" w:rsidR="006877B2" w:rsidRPr="00F553AD" w:rsidRDefault="00C133AB" w:rsidP="000C353A">
            <w:pPr>
              <w:jc w:val="center"/>
              <w:rPr>
                <w:rFonts w:asciiTheme="minorHAnsi" w:hAnsiTheme="minorHAnsi" w:cstheme="minorHAnsi"/>
                <w:b/>
                <w:color w:val="000000"/>
                <w:lang w:val="es-ES"/>
              </w:rPr>
            </w:pPr>
            <w:r w:rsidRPr="00F553AD">
              <w:rPr>
                <w:rFonts w:asciiTheme="minorHAnsi" w:hAnsiTheme="minorHAnsi" w:cstheme="minorHAnsi"/>
                <w:b/>
                <w:color w:val="000000"/>
                <w:lang w:val="es-ES"/>
              </w:rPr>
              <w:t xml:space="preserve">T1 </w:t>
            </w:r>
            <w:r w:rsidR="006877B2" w:rsidRPr="00F553AD">
              <w:rPr>
                <w:rFonts w:asciiTheme="minorHAnsi" w:hAnsiTheme="minorHAnsi" w:cstheme="minorHAnsi"/>
                <w:b/>
                <w:color w:val="000000"/>
                <w:lang w:val="es-ES"/>
              </w:rPr>
              <w:t>2021</w:t>
            </w:r>
          </w:p>
        </w:tc>
        <w:tc>
          <w:tcPr>
            <w:tcW w:w="3336" w:type="dxa"/>
            <w:gridSpan w:val="2"/>
            <w:tcBorders>
              <w:bottom w:val="single" w:sz="4" w:space="0" w:color="auto"/>
            </w:tcBorders>
            <w:vAlign w:val="center"/>
          </w:tcPr>
          <w:p w14:paraId="2E91E1BA" w14:textId="3F544063" w:rsidR="006877B2" w:rsidRPr="00F553AD" w:rsidRDefault="00C133AB" w:rsidP="000C353A">
            <w:pPr>
              <w:jc w:val="center"/>
              <w:rPr>
                <w:rFonts w:asciiTheme="minorHAnsi" w:hAnsiTheme="minorHAnsi" w:cstheme="minorHAnsi"/>
                <w:b/>
                <w:color w:val="000000"/>
                <w:lang w:val="es-ES"/>
              </w:rPr>
            </w:pPr>
            <w:r w:rsidRPr="00F553AD">
              <w:rPr>
                <w:rFonts w:asciiTheme="minorHAnsi" w:hAnsiTheme="minorHAnsi" w:cstheme="minorHAnsi"/>
                <w:b/>
                <w:color w:val="000000"/>
                <w:lang w:val="es-ES"/>
              </w:rPr>
              <w:t xml:space="preserve">T1 </w:t>
            </w:r>
            <w:r w:rsidR="006877B2" w:rsidRPr="00F553AD">
              <w:rPr>
                <w:rFonts w:asciiTheme="minorHAnsi" w:hAnsiTheme="minorHAnsi" w:cstheme="minorHAnsi"/>
                <w:b/>
                <w:color w:val="000000"/>
                <w:lang w:val="es-ES"/>
              </w:rPr>
              <w:t>2020</w:t>
            </w:r>
          </w:p>
        </w:tc>
      </w:tr>
      <w:tr w:rsidR="006877B2" w:rsidRPr="00F553AD" w14:paraId="1E7F62BD" w14:textId="77777777" w:rsidTr="000C353A">
        <w:trPr>
          <w:trHeight w:val="526"/>
          <w:jc w:val="center"/>
        </w:trPr>
        <w:tc>
          <w:tcPr>
            <w:tcW w:w="3002" w:type="dxa"/>
            <w:tcBorders>
              <w:top w:val="nil"/>
              <w:left w:val="nil"/>
              <w:bottom w:val="single" w:sz="4" w:space="0" w:color="auto"/>
              <w:right w:val="single" w:sz="4" w:space="0" w:color="auto"/>
            </w:tcBorders>
            <w:vAlign w:val="center"/>
            <w:hideMark/>
          </w:tcPr>
          <w:p w14:paraId="25E218E1" w14:textId="538FA768" w:rsidR="006877B2" w:rsidRPr="00F553AD" w:rsidRDefault="006877B2" w:rsidP="00FC6A91">
            <w:pPr>
              <w:jc w:val="both"/>
              <w:rPr>
                <w:rFonts w:asciiTheme="minorHAnsi" w:hAnsiTheme="minorHAnsi" w:cstheme="minorHAnsi"/>
                <w:b/>
                <w:color w:val="000000"/>
                <w:lang w:val="es-ES"/>
              </w:rPr>
            </w:pPr>
          </w:p>
        </w:tc>
        <w:tc>
          <w:tcPr>
            <w:tcW w:w="1505" w:type="dxa"/>
            <w:tcBorders>
              <w:left w:val="single" w:sz="4" w:space="0" w:color="auto"/>
              <w:bottom w:val="single" w:sz="4" w:space="0" w:color="auto"/>
            </w:tcBorders>
            <w:vAlign w:val="center"/>
            <w:hideMark/>
          </w:tcPr>
          <w:p w14:paraId="6DE1435B" w14:textId="3B94EF47" w:rsidR="006877B2" w:rsidRPr="00F553AD" w:rsidRDefault="00C133AB" w:rsidP="000C353A">
            <w:pPr>
              <w:jc w:val="center"/>
              <w:rPr>
                <w:rFonts w:asciiTheme="minorHAnsi" w:hAnsiTheme="minorHAnsi" w:cstheme="minorHAnsi"/>
                <w:b/>
                <w:color w:val="000000"/>
                <w:lang w:val="es-ES"/>
              </w:rPr>
            </w:pPr>
            <w:r w:rsidRPr="00F553AD">
              <w:rPr>
                <w:rFonts w:asciiTheme="minorHAnsi" w:hAnsiTheme="minorHAnsi" w:cstheme="minorHAnsi"/>
                <w:b/>
                <w:color w:val="000000"/>
                <w:lang w:val="es-ES"/>
              </w:rPr>
              <w:t xml:space="preserve">Deuda </w:t>
            </w:r>
            <w:r w:rsidR="009000B5" w:rsidRPr="00F553AD">
              <w:rPr>
                <w:rFonts w:asciiTheme="minorHAnsi" w:hAnsiTheme="minorHAnsi" w:cstheme="minorHAnsi"/>
                <w:b/>
                <w:color w:val="000000"/>
                <w:lang w:val="es-ES"/>
              </w:rPr>
              <w:t xml:space="preserve">por </w:t>
            </w:r>
            <w:r w:rsidR="00DB6BD6" w:rsidRPr="00F553AD">
              <w:rPr>
                <w:rFonts w:asciiTheme="minorHAnsi" w:hAnsiTheme="minorHAnsi" w:cstheme="minorHAnsi"/>
                <w:b/>
                <w:color w:val="000000"/>
                <w:lang w:val="es-ES"/>
              </w:rPr>
              <w:t>C</w:t>
            </w:r>
            <w:r w:rsidR="009000B5" w:rsidRPr="00F553AD">
              <w:rPr>
                <w:rFonts w:asciiTheme="minorHAnsi" w:hAnsiTheme="minorHAnsi" w:cstheme="minorHAnsi"/>
                <w:b/>
                <w:color w:val="000000"/>
                <w:lang w:val="es-ES"/>
              </w:rPr>
              <w:t>onsumidor</w:t>
            </w:r>
            <w:r w:rsidR="006877B2" w:rsidRPr="00F553AD">
              <w:rPr>
                <w:rFonts w:asciiTheme="minorHAnsi" w:hAnsiTheme="minorHAnsi" w:cstheme="minorHAnsi"/>
                <w:b/>
                <w:color w:val="000000"/>
                <w:lang w:val="es-ES"/>
              </w:rPr>
              <w:t xml:space="preserve"> </w:t>
            </w:r>
            <w:r w:rsidRPr="00F553AD">
              <w:rPr>
                <w:rFonts w:asciiTheme="minorHAnsi" w:hAnsiTheme="minorHAnsi" w:cstheme="minorHAnsi"/>
                <w:b/>
                <w:color w:val="000000"/>
                <w:lang w:val="es-ES"/>
              </w:rPr>
              <w:t>(en millones)</w:t>
            </w:r>
          </w:p>
        </w:tc>
        <w:tc>
          <w:tcPr>
            <w:tcW w:w="1525" w:type="dxa"/>
            <w:tcBorders>
              <w:bottom w:val="single" w:sz="4" w:space="0" w:color="auto"/>
            </w:tcBorders>
            <w:vAlign w:val="center"/>
            <w:hideMark/>
          </w:tcPr>
          <w:p w14:paraId="75E1EF2B" w14:textId="5BAC4790" w:rsidR="006877B2" w:rsidRPr="00F553AD" w:rsidRDefault="009000B5" w:rsidP="000C353A">
            <w:pPr>
              <w:jc w:val="center"/>
              <w:rPr>
                <w:rFonts w:asciiTheme="minorHAnsi" w:hAnsiTheme="minorHAnsi" w:cstheme="minorHAnsi"/>
                <w:b/>
                <w:color w:val="000000"/>
                <w:lang w:val="es-ES"/>
              </w:rPr>
            </w:pPr>
            <w:r w:rsidRPr="00F553AD">
              <w:rPr>
                <w:rFonts w:asciiTheme="minorHAnsi" w:hAnsiTheme="minorHAnsi" w:cstheme="minorHAnsi"/>
                <w:b/>
                <w:color w:val="000000"/>
                <w:lang w:val="es-ES"/>
              </w:rPr>
              <w:t xml:space="preserve">Variación </w:t>
            </w:r>
            <w:r w:rsidR="00DB6BD6" w:rsidRPr="00F553AD">
              <w:rPr>
                <w:rFonts w:asciiTheme="minorHAnsi" w:hAnsiTheme="minorHAnsi" w:cstheme="minorHAnsi"/>
                <w:b/>
                <w:color w:val="000000"/>
                <w:lang w:val="es-ES"/>
              </w:rPr>
              <w:t>A</w:t>
            </w:r>
            <w:r w:rsidRPr="00F553AD">
              <w:rPr>
                <w:rFonts w:asciiTheme="minorHAnsi" w:hAnsiTheme="minorHAnsi" w:cstheme="minorHAnsi"/>
                <w:b/>
                <w:color w:val="000000"/>
                <w:lang w:val="es-ES"/>
              </w:rPr>
              <w:t>nual</w:t>
            </w:r>
            <w:r w:rsidR="00C133AB" w:rsidRPr="00F553AD">
              <w:rPr>
                <w:rFonts w:asciiTheme="minorHAnsi" w:hAnsiTheme="minorHAnsi" w:cstheme="minorHAnsi"/>
                <w:b/>
                <w:color w:val="000000"/>
                <w:lang w:val="es-ES"/>
              </w:rPr>
              <w:t xml:space="preserve"> (en %)</w:t>
            </w:r>
          </w:p>
        </w:tc>
        <w:tc>
          <w:tcPr>
            <w:tcW w:w="1765" w:type="dxa"/>
            <w:tcBorders>
              <w:bottom w:val="single" w:sz="4" w:space="0" w:color="auto"/>
            </w:tcBorders>
            <w:vAlign w:val="center"/>
          </w:tcPr>
          <w:p w14:paraId="77A14139" w14:textId="3B3D694D" w:rsidR="006877B2" w:rsidRPr="00F553AD" w:rsidRDefault="00C133AB" w:rsidP="000C353A">
            <w:pPr>
              <w:jc w:val="center"/>
              <w:rPr>
                <w:rFonts w:asciiTheme="minorHAnsi" w:hAnsiTheme="minorHAnsi" w:cstheme="minorHAnsi"/>
                <w:b/>
                <w:color w:val="000000"/>
                <w:lang w:val="es-ES"/>
              </w:rPr>
            </w:pPr>
            <w:r w:rsidRPr="00F553AD">
              <w:rPr>
                <w:rFonts w:asciiTheme="minorHAnsi" w:hAnsiTheme="minorHAnsi" w:cstheme="minorHAnsi"/>
                <w:b/>
                <w:color w:val="000000"/>
                <w:lang w:val="es-ES"/>
              </w:rPr>
              <w:t xml:space="preserve">Deuda por </w:t>
            </w:r>
            <w:r w:rsidR="00DB6BD6" w:rsidRPr="00F553AD">
              <w:rPr>
                <w:rFonts w:asciiTheme="minorHAnsi" w:hAnsiTheme="minorHAnsi" w:cstheme="minorHAnsi"/>
                <w:b/>
                <w:color w:val="000000"/>
                <w:lang w:val="es-ES"/>
              </w:rPr>
              <w:t>C</w:t>
            </w:r>
            <w:r w:rsidRPr="00F553AD">
              <w:rPr>
                <w:rFonts w:asciiTheme="minorHAnsi" w:hAnsiTheme="minorHAnsi" w:cstheme="minorHAnsi"/>
                <w:b/>
                <w:color w:val="000000"/>
                <w:lang w:val="es-ES"/>
              </w:rPr>
              <w:t xml:space="preserve">onsumidor </w:t>
            </w:r>
            <w:r w:rsidR="00DB6BD6" w:rsidRPr="00F553AD">
              <w:rPr>
                <w:rFonts w:asciiTheme="minorHAnsi" w:hAnsiTheme="minorHAnsi" w:cstheme="minorHAnsi"/>
                <w:b/>
                <w:color w:val="000000"/>
                <w:lang w:val="es-ES"/>
              </w:rPr>
              <w:t xml:space="preserve">     </w:t>
            </w:r>
            <w:r w:rsidRPr="00F553AD">
              <w:rPr>
                <w:rFonts w:asciiTheme="minorHAnsi" w:hAnsiTheme="minorHAnsi" w:cstheme="minorHAnsi"/>
                <w:b/>
                <w:color w:val="000000"/>
                <w:lang w:val="es-ES"/>
              </w:rPr>
              <w:t>(en millones)</w:t>
            </w:r>
          </w:p>
        </w:tc>
        <w:tc>
          <w:tcPr>
            <w:tcW w:w="1571" w:type="dxa"/>
            <w:tcBorders>
              <w:bottom w:val="single" w:sz="4" w:space="0" w:color="auto"/>
            </w:tcBorders>
            <w:vAlign w:val="center"/>
          </w:tcPr>
          <w:p w14:paraId="00502A9C" w14:textId="5EB883B0" w:rsidR="006877B2" w:rsidRPr="00F553AD" w:rsidRDefault="009000B5" w:rsidP="000C353A">
            <w:pPr>
              <w:jc w:val="center"/>
              <w:rPr>
                <w:rFonts w:asciiTheme="minorHAnsi" w:hAnsiTheme="minorHAnsi" w:cstheme="minorHAnsi"/>
                <w:b/>
                <w:color w:val="000000"/>
                <w:lang w:val="es-ES"/>
              </w:rPr>
            </w:pPr>
            <w:r w:rsidRPr="00F553AD">
              <w:rPr>
                <w:rFonts w:asciiTheme="minorHAnsi" w:hAnsiTheme="minorHAnsi" w:cstheme="minorHAnsi"/>
                <w:b/>
                <w:color w:val="000000"/>
                <w:lang w:val="es-ES"/>
              </w:rPr>
              <w:t>Variación Anual</w:t>
            </w:r>
            <w:r w:rsidR="00C133AB" w:rsidRPr="00F553AD">
              <w:rPr>
                <w:rFonts w:asciiTheme="minorHAnsi" w:hAnsiTheme="minorHAnsi" w:cstheme="minorHAnsi"/>
                <w:b/>
                <w:color w:val="000000"/>
                <w:lang w:val="es-ES"/>
              </w:rPr>
              <w:t xml:space="preserve"> (en %)</w:t>
            </w:r>
          </w:p>
        </w:tc>
      </w:tr>
      <w:tr w:rsidR="001417FF" w:rsidRPr="00F553AD" w14:paraId="40280DC7" w14:textId="77777777" w:rsidTr="00F7188C">
        <w:trPr>
          <w:trHeight w:hRule="exact" w:val="283"/>
          <w:jc w:val="center"/>
        </w:trPr>
        <w:tc>
          <w:tcPr>
            <w:tcW w:w="9368" w:type="dxa"/>
            <w:gridSpan w:val="5"/>
            <w:shd w:val="clear" w:color="auto" w:fill="808080" w:themeFill="background1" w:themeFillShade="80"/>
            <w:vAlign w:val="center"/>
          </w:tcPr>
          <w:p w14:paraId="2471E341" w14:textId="38C45ABF" w:rsidR="001417FF" w:rsidRPr="00F553AD" w:rsidRDefault="009000B5" w:rsidP="00FC6A91">
            <w:pPr>
              <w:spacing w:before="100" w:beforeAutospacing="1" w:after="100" w:afterAutospacing="1"/>
              <w:jc w:val="both"/>
              <w:rPr>
                <w:rFonts w:asciiTheme="minorHAnsi" w:hAnsiTheme="minorHAnsi" w:cstheme="minorHAnsi"/>
                <w:b/>
                <w:lang w:val="es-ES"/>
              </w:rPr>
            </w:pPr>
            <w:r w:rsidRPr="00F553AD">
              <w:rPr>
                <w:rFonts w:asciiTheme="minorHAnsi" w:hAnsiTheme="minorHAnsi" w:cstheme="minorHAnsi"/>
                <w:b/>
                <w:color w:val="FFFFFF" w:themeColor="background1"/>
                <w:lang w:val="es-ES"/>
              </w:rPr>
              <w:t>Tarjetas de crédito</w:t>
            </w:r>
          </w:p>
        </w:tc>
      </w:tr>
      <w:tr w:rsidR="006877B2" w:rsidRPr="00F553AD" w14:paraId="643EF2C0" w14:textId="77777777" w:rsidTr="000C353A">
        <w:trPr>
          <w:trHeight w:hRule="exact" w:val="283"/>
          <w:jc w:val="center"/>
        </w:trPr>
        <w:tc>
          <w:tcPr>
            <w:tcW w:w="3002" w:type="dxa"/>
            <w:vAlign w:val="center"/>
            <w:hideMark/>
          </w:tcPr>
          <w:p w14:paraId="17FBABC1" w14:textId="409E2728" w:rsidR="006877B2" w:rsidRPr="00F553AD" w:rsidRDefault="009000B5" w:rsidP="00FC6A91">
            <w:pPr>
              <w:jc w:val="both"/>
              <w:rPr>
                <w:rFonts w:asciiTheme="minorHAnsi" w:hAnsiTheme="minorHAnsi" w:cstheme="minorHAnsi"/>
                <w:b/>
                <w:color w:val="000000"/>
                <w:lang w:val="es-ES"/>
              </w:rPr>
            </w:pPr>
            <w:r w:rsidRPr="00F553AD">
              <w:rPr>
                <w:rFonts w:asciiTheme="minorHAnsi" w:hAnsiTheme="minorHAnsi" w:cstheme="minorHAnsi"/>
                <w:b/>
                <w:color w:val="000000"/>
                <w:lang w:val="es-ES"/>
              </w:rPr>
              <w:t>Riesgo alto</w:t>
            </w:r>
          </w:p>
        </w:tc>
        <w:tc>
          <w:tcPr>
            <w:tcW w:w="1505" w:type="dxa"/>
            <w:vAlign w:val="center"/>
            <w:hideMark/>
          </w:tcPr>
          <w:p w14:paraId="2CF8CABB" w14:textId="3DFD763B" w:rsidR="006877B2" w:rsidRPr="00F553AD" w:rsidRDefault="006877B2" w:rsidP="00FC6A91">
            <w:pPr>
              <w:spacing w:before="100" w:beforeAutospacing="1" w:after="100" w:afterAutospacing="1"/>
              <w:jc w:val="both"/>
              <w:rPr>
                <w:rFonts w:asciiTheme="minorHAnsi" w:hAnsiTheme="minorHAnsi" w:cstheme="minorHAnsi"/>
                <w:b/>
                <w:lang w:val="es-ES" w:eastAsia="es-CO"/>
              </w:rPr>
            </w:pPr>
            <w:r w:rsidRPr="00F553AD">
              <w:rPr>
                <w:rFonts w:asciiTheme="minorHAnsi" w:hAnsiTheme="minorHAnsi" w:cstheme="minorHAnsi"/>
                <w:b/>
                <w:lang w:val="es-ES"/>
              </w:rPr>
              <w:t>4</w:t>
            </w:r>
            <w:r w:rsidR="00DB6BD6" w:rsidRPr="00F553AD">
              <w:rPr>
                <w:rFonts w:asciiTheme="minorHAnsi" w:hAnsiTheme="minorHAnsi" w:cstheme="minorHAnsi"/>
                <w:b/>
                <w:lang w:val="es-ES"/>
              </w:rPr>
              <w:t>,</w:t>
            </w:r>
            <w:r w:rsidRPr="00F553AD">
              <w:rPr>
                <w:rFonts w:asciiTheme="minorHAnsi" w:hAnsiTheme="minorHAnsi" w:cstheme="minorHAnsi"/>
                <w:b/>
                <w:lang w:val="es-ES"/>
              </w:rPr>
              <w:t>8</w:t>
            </w:r>
          </w:p>
        </w:tc>
        <w:tc>
          <w:tcPr>
            <w:tcW w:w="1525" w:type="dxa"/>
            <w:vAlign w:val="center"/>
            <w:hideMark/>
          </w:tcPr>
          <w:p w14:paraId="5F862393" w14:textId="3FAD854F" w:rsidR="006877B2" w:rsidRPr="00F553AD" w:rsidRDefault="006877B2" w:rsidP="00FC6A91">
            <w:pPr>
              <w:spacing w:before="100" w:beforeAutospacing="1" w:after="100" w:afterAutospacing="1"/>
              <w:jc w:val="both"/>
              <w:rPr>
                <w:rFonts w:asciiTheme="minorHAnsi" w:hAnsiTheme="minorHAnsi" w:cstheme="minorHAnsi"/>
                <w:b/>
                <w:lang w:val="es-ES" w:eastAsia="es-CO"/>
              </w:rPr>
            </w:pPr>
            <w:r w:rsidRPr="00F553AD">
              <w:rPr>
                <w:rFonts w:asciiTheme="minorHAnsi" w:hAnsiTheme="minorHAnsi" w:cstheme="minorHAnsi"/>
                <w:b/>
                <w:lang w:val="es-ES"/>
              </w:rPr>
              <w:t>20</w:t>
            </w:r>
            <w:r w:rsidR="00C133AB" w:rsidRPr="00F553AD">
              <w:rPr>
                <w:rFonts w:asciiTheme="minorHAnsi" w:hAnsiTheme="minorHAnsi" w:cstheme="minorHAnsi"/>
                <w:b/>
                <w:lang w:val="es-ES"/>
              </w:rPr>
              <w:t>,</w:t>
            </w:r>
            <w:r w:rsidRPr="00F553AD">
              <w:rPr>
                <w:rFonts w:asciiTheme="minorHAnsi" w:hAnsiTheme="minorHAnsi" w:cstheme="minorHAnsi"/>
                <w:b/>
                <w:lang w:val="es-ES"/>
              </w:rPr>
              <w:t>7%</w:t>
            </w:r>
          </w:p>
        </w:tc>
        <w:tc>
          <w:tcPr>
            <w:tcW w:w="1765" w:type="dxa"/>
            <w:vAlign w:val="center"/>
          </w:tcPr>
          <w:p w14:paraId="380FAEB8" w14:textId="7EDFF34C" w:rsidR="006877B2" w:rsidRPr="00F553AD" w:rsidRDefault="006877B2" w:rsidP="00FC6A91">
            <w:pPr>
              <w:spacing w:before="100" w:beforeAutospacing="1" w:after="100" w:afterAutospacing="1"/>
              <w:jc w:val="both"/>
              <w:rPr>
                <w:rFonts w:asciiTheme="minorHAnsi" w:hAnsiTheme="minorHAnsi" w:cstheme="minorHAnsi"/>
                <w:b/>
                <w:lang w:val="es-ES" w:eastAsia="es-CO"/>
              </w:rPr>
            </w:pPr>
            <w:r w:rsidRPr="00F553AD">
              <w:rPr>
                <w:rFonts w:asciiTheme="minorHAnsi" w:hAnsiTheme="minorHAnsi" w:cstheme="minorHAnsi"/>
                <w:b/>
                <w:lang w:val="es-ES"/>
              </w:rPr>
              <w:t>4</w:t>
            </w:r>
            <w:r w:rsidR="00DB6BD6" w:rsidRPr="00F553AD">
              <w:rPr>
                <w:rFonts w:asciiTheme="minorHAnsi" w:hAnsiTheme="minorHAnsi" w:cstheme="minorHAnsi"/>
                <w:b/>
                <w:lang w:val="es-ES"/>
              </w:rPr>
              <w:t>,</w:t>
            </w:r>
            <w:r w:rsidRPr="00F553AD">
              <w:rPr>
                <w:rFonts w:asciiTheme="minorHAnsi" w:hAnsiTheme="minorHAnsi" w:cstheme="minorHAnsi"/>
                <w:b/>
                <w:lang w:val="es-ES"/>
              </w:rPr>
              <w:t>0</w:t>
            </w:r>
          </w:p>
        </w:tc>
        <w:tc>
          <w:tcPr>
            <w:tcW w:w="1571" w:type="dxa"/>
            <w:vAlign w:val="center"/>
          </w:tcPr>
          <w:p w14:paraId="4CAEAD66" w14:textId="7085B560" w:rsidR="006877B2" w:rsidRPr="00F553AD" w:rsidRDefault="006877B2" w:rsidP="00FC6A91">
            <w:pPr>
              <w:spacing w:before="100" w:beforeAutospacing="1" w:after="100" w:afterAutospacing="1"/>
              <w:jc w:val="both"/>
              <w:rPr>
                <w:rFonts w:asciiTheme="minorHAnsi" w:hAnsiTheme="minorHAnsi" w:cstheme="minorHAnsi"/>
                <w:b/>
                <w:lang w:val="es-ES" w:eastAsia="es-CO"/>
              </w:rPr>
            </w:pPr>
            <w:r w:rsidRPr="00F553AD">
              <w:rPr>
                <w:rFonts w:asciiTheme="minorHAnsi" w:hAnsiTheme="minorHAnsi" w:cstheme="minorHAnsi"/>
                <w:b/>
                <w:lang w:val="es-ES"/>
              </w:rPr>
              <w:t>4</w:t>
            </w:r>
            <w:r w:rsidR="00C133AB" w:rsidRPr="00F553AD">
              <w:rPr>
                <w:rFonts w:asciiTheme="minorHAnsi" w:hAnsiTheme="minorHAnsi" w:cstheme="minorHAnsi"/>
                <w:b/>
                <w:lang w:val="es-ES"/>
              </w:rPr>
              <w:t>,</w:t>
            </w:r>
            <w:r w:rsidRPr="00F553AD">
              <w:rPr>
                <w:rFonts w:asciiTheme="minorHAnsi" w:hAnsiTheme="minorHAnsi" w:cstheme="minorHAnsi"/>
                <w:b/>
                <w:lang w:val="es-ES"/>
              </w:rPr>
              <w:t>3%</w:t>
            </w:r>
          </w:p>
        </w:tc>
      </w:tr>
      <w:tr w:rsidR="006877B2" w:rsidRPr="00F553AD" w14:paraId="54B91EC4" w14:textId="77777777" w:rsidTr="000C353A">
        <w:trPr>
          <w:trHeight w:hRule="exact" w:val="283"/>
          <w:jc w:val="center"/>
        </w:trPr>
        <w:tc>
          <w:tcPr>
            <w:tcW w:w="3002" w:type="dxa"/>
            <w:vAlign w:val="center"/>
            <w:hideMark/>
          </w:tcPr>
          <w:p w14:paraId="5DF3A1A4" w14:textId="50B71E1F" w:rsidR="006877B2" w:rsidRPr="00F553AD" w:rsidRDefault="009000B5" w:rsidP="00DB6BD6">
            <w:pPr>
              <w:jc w:val="both"/>
              <w:rPr>
                <w:rFonts w:asciiTheme="minorHAnsi" w:hAnsiTheme="minorHAnsi" w:cstheme="minorHAnsi"/>
                <w:b/>
                <w:color w:val="000000"/>
                <w:lang w:val="es-ES"/>
              </w:rPr>
            </w:pPr>
            <w:r w:rsidRPr="00F553AD">
              <w:rPr>
                <w:rFonts w:asciiTheme="minorHAnsi" w:hAnsiTheme="minorHAnsi" w:cstheme="minorHAnsi"/>
                <w:b/>
                <w:color w:val="000000"/>
                <w:lang w:val="es-ES"/>
              </w:rPr>
              <w:t>Riesgo medio y</w:t>
            </w:r>
            <w:r w:rsidR="00DB6BD6" w:rsidRPr="00F553AD">
              <w:rPr>
                <w:rFonts w:asciiTheme="minorHAnsi" w:hAnsiTheme="minorHAnsi" w:cstheme="minorHAnsi"/>
                <w:b/>
                <w:color w:val="000000"/>
                <w:lang w:val="es-ES"/>
              </w:rPr>
              <w:t xml:space="preserve"> bajo</w:t>
            </w:r>
          </w:p>
        </w:tc>
        <w:tc>
          <w:tcPr>
            <w:tcW w:w="1505" w:type="dxa"/>
            <w:vAlign w:val="center"/>
            <w:hideMark/>
          </w:tcPr>
          <w:p w14:paraId="668CEE03" w14:textId="1C0B7B6F" w:rsidR="006877B2" w:rsidRPr="00F553AD" w:rsidRDefault="006877B2" w:rsidP="00FC6A91">
            <w:pPr>
              <w:jc w:val="both"/>
              <w:rPr>
                <w:rFonts w:asciiTheme="minorHAnsi" w:hAnsiTheme="minorHAnsi" w:cstheme="minorHAnsi"/>
                <w:b/>
                <w:lang w:val="es-ES"/>
              </w:rPr>
            </w:pPr>
            <w:r w:rsidRPr="00F553AD">
              <w:rPr>
                <w:rFonts w:asciiTheme="minorHAnsi" w:hAnsiTheme="minorHAnsi" w:cstheme="minorHAnsi"/>
                <w:b/>
                <w:lang w:val="es-ES"/>
              </w:rPr>
              <w:t>4</w:t>
            </w:r>
            <w:r w:rsidR="00DB6BD6" w:rsidRPr="00F553AD">
              <w:rPr>
                <w:rFonts w:asciiTheme="minorHAnsi" w:hAnsiTheme="minorHAnsi" w:cstheme="minorHAnsi"/>
                <w:b/>
                <w:lang w:val="es-ES"/>
              </w:rPr>
              <w:t>,</w:t>
            </w:r>
            <w:r w:rsidRPr="00F553AD">
              <w:rPr>
                <w:rFonts w:asciiTheme="minorHAnsi" w:hAnsiTheme="minorHAnsi" w:cstheme="minorHAnsi"/>
                <w:b/>
                <w:lang w:val="es-ES"/>
              </w:rPr>
              <w:t>4</w:t>
            </w:r>
          </w:p>
        </w:tc>
        <w:tc>
          <w:tcPr>
            <w:tcW w:w="1525" w:type="dxa"/>
            <w:vAlign w:val="center"/>
            <w:hideMark/>
          </w:tcPr>
          <w:p w14:paraId="4793D656" w14:textId="7F8B0193" w:rsidR="006877B2" w:rsidRPr="00F553AD" w:rsidRDefault="006877B2" w:rsidP="00FC6A91">
            <w:pPr>
              <w:jc w:val="both"/>
              <w:rPr>
                <w:rFonts w:asciiTheme="minorHAnsi" w:hAnsiTheme="minorHAnsi" w:cstheme="minorHAnsi"/>
                <w:b/>
                <w:lang w:val="es-ES"/>
              </w:rPr>
            </w:pPr>
            <w:r w:rsidRPr="00F553AD">
              <w:rPr>
                <w:rFonts w:asciiTheme="minorHAnsi" w:hAnsiTheme="minorHAnsi" w:cstheme="minorHAnsi"/>
                <w:b/>
                <w:lang w:val="es-ES"/>
              </w:rPr>
              <w:t>-8</w:t>
            </w:r>
            <w:r w:rsidR="00C133AB" w:rsidRPr="00F553AD">
              <w:rPr>
                <w:rFonts w:asciiTheme="minorHAnsi" w:hAnsiTheme="minorHAnsi" w:cstheme="minorHAnsi"/>
                <w:b/>
                <w:lang w:val="es-ES"/>
              </w:rPr>
              <w:t>,</w:t>
            </w:r>
            <w:r w:rsidRPr="00F553AD">
              <w:rPr>
                <w:rFonts w:asciiTheme="minorHAnsi" w:hAnsiTheme="minorHAnsi" w:cstheme="minorHAnsi"/>
                <w:b/>
                <w:lang w:val="es-ES"/>
              </w:rPr>
              <w:t xml:space="preserve">5% </w:t>
            </w:r>
          </w:p>
        </w:tc>
        <w:tc>
          <w:tcPr>
            <w:tcW w:w="1765" w:type="dxa"/>
            <w:vAlign w:val="center"/>
          </w:tcPr>
          <w:p w14:paraId="0D9274A4" w14:textId="12C863B5" w:rsidR="006877B2" w:rsidRPr="00F553AD" w:rsidRDefault="006877B2" w:rsidP="00FC6A91">
            <w:pPr>
              <w:spacing w:before="100" w:beforeAutospacing="1" w:after="100" w:afterAutospacing="1"/>
              <w:jc w:val="both"/>
              <w:rPr>
                <w:rFonts w:asciiTheme="minorHAnsi" w:hAnsiTheme="minorHAnsi" w:cstheme="minorHAnsi"/>
                <w:b/>
                <w:lang w:val="es-ES"/>
              </w:rPr>
            </w:pPr>
            <w:r w:rsidRPr="00F553AD">
              <w:rPr>
                <w:rFonts w:asciiTheme="minorHAnsi" w:hAnsiTheme="minorHAnsi" w:cstheme="minorHAnsi"/>
                <w:b/>
                <w:lang w:val="es-ES"/>
              </w:rPr>
              <w:t>4</w:t>
            </w:r>
            <w:r w:rsidR="00DB6BD6" w:rsidRPr="00F553AD">
              <w:rPr>
                <w:rFonts w:asciiTheme="minorHAnsi" w:hAnsiTheme="minorHAnsi" w:cstheme="minorHAnsi"/>
                <w:b/>
                <w:lang w:val="es-ES"/>
              </w:rPr>
              <w:t>,</w:t>
            </w:r>
            <w:r w:rsidRPr="00F553AD">
              <w:rPr>
                <w:rFonts w:asciiTheme="minorHAnsi" w:hAnsiTheme="minorHAnsi" w:cstheme="minorHAnsi"/>
                <w:b/>
                <w:lang w:val="es-ES"/>
              </w:rPr>
              <w:t>8</w:t>
            </w:r>
          </w:p>
        </w:tc>
        <w:tc>
          <w:tcPr>
            <w:tcW w:w="1571" w:type="dxa"/>
            <w:vAlign w:val="center"/>
          </w:tcPr>
          <w:p w14:paraId="4691716C" w14:textId="2CA5E19C" w:rsidR="006877B2" w:rsidRPr="00F553AD" w:rsidRDefault="006877B2" w:rsidP="00FC6A91">
            <w:pPr>
              <w:jc w:val="both"/>
              <w:rPr>
                <w:rFonts w:asciiTheme="minorHAnsi" w:hAnsiTheme="minorHAnsi" w:cstheme="minorHAnsi"/>
                <w:b/>
                <w:lang w:val="es-ES"/>
              </w:rPr>
            </w:pPr>
            <w:r w:rsidRPr="00F553AD">
              <w:rPr>
                <w:rFonts w:asciiTheme="minorHAnsi" w:hAnsiTheme="minorHAnsi" w:cstheme="minorHAnsi"/>
                <w:b/>
                <w:lang w:val="es-ES"/>
              </w:rPr>
              <w:t>8</w:t>
            </w:r>
            <w:r w:rsidR="00C133AB" w:rsidRPr="00F553AD">
              <w:rPr>
                <w:rFonts w:asciiTheme="minorHAnsi" w:hAnsiTheme="minorHAnsi" w:cstheme="minorHAnsi"/>
                <w:b/>
                <w:lang w:val="es-ES"/>
              </w:rPr>
              <w:t>,</w:t>
            </w:r>
            <w:r w:rsidRPr="00F553AD">
              <w:rPr>
                <w:rFonts w:asciiTheme="minorHAnsi" w:hAnsiTheme="minorHAnsi" w:cstheme="minorHAnsi"/>
                <w:b/>
                <w:lang w:val="es-ES"/>
              </w:rPr>
              <w:t>6%</w:t>
            </w:r>
          </w:p>
        </w:tc>
      </w:tr>
      <w:tr w:rsidR="00BD3506" w:rsidRPr="00F553AD" w14:paraId="7951991B" w14:textId="77777777" w:rsidTr="000C353A">
        <w:trPr>
          <w:trHeight w:hRule="exact" w:val="283"/>
          <w:jc w:val="center"/>
        </w:trPr>
        <w:tc>
          <w:tcPr>
            <w:tcW w:w="3002" w:type="dxa"/>
            <w:vAlign w:val="center"/>
          </w:tcPr>
          <w:p w14:paraId="51506070" w14:textId="603B31ED" w:rsidR="00BD3506" w:rsidRPr="00F553AD" w:rsidRDefault="00BD3506" w:rsidP="00FC6A91">
            <w:pPr>
              <w:jc w:val="both"/>
              <w:rPr>
                <w:rFonts w:asciiTheme="minorHAnsi" w:hAnsiTheme="minorHAnsi" w:cstheme="minorHAnsi"/>
                <w:b/>
                <w:color w:val="000000"/>
                <w:lang w:val="es-ES"/>
              </w:rPr>
            </w:pPr>
            <w:r w:rsidRPr="00F553AD">
              <w:rPr>
                <w:rFonts w:asciiTheme="minorHAnsi" w:hAnsiTheme="minorHAnsi" w:cstheme="minorHAnsi"/>
                <w:b/>
                <w:color w:val="000000"/>
                <w:lang w:val="es-ES"/>
              </w:rPr>
              <w:t>Total</w:t>
            </w:r>
          </w:p>
        </w:tc>
        <w:tc>
          <w:tcPr>
            <w:tcW w:w="1505" w:type="dxa"/>
            <w:vAlign w:val="center"/>
          </w:tcPr>
          <w:p w14:paraId="139079D6" w14:textId="72CCE2C1" w:rsidR="00BD3506" w:rsidRPr="00F553AD" w:rsidRDefault="00BD3506" w:rsidP="00FC6A91">
            <w:pPr>
              <w:jc w:val="both"/>
              <w:rPr>
                <w:rFonts w:asciiTheme="minorHAnsi" w:hAnsiTheme="minorHAnsi" w:cstheme="minorHAnsi"/>
                <w:b/>
                <w:lang w:val="es-ES"/>
              </w:rPr>
            </w:pPr>
            <w:r w:rsidRPr="00F553AD">
              <w:rPr>
                <w:rFonts w:asciiTheme="minorHAnsi" w:hAnsiTheme="minorHAnsi" w:cstheme="minorHAnsi"/>
                <w:b/>
                <w:color w:val="000000"/>
                <w:lang w:val="es-ES"/>
              </w:rPr>
              <w:t>4</w:t>
            </w:r>
            <w:r w:rsidR="00DB6BD6"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6</w:t>
            </w:r>
          </w:p>
        </w:tc>
        <w:tc>
          <w:tcPr>
            <w:tcW w:w="1525" w:type="dxa"/>
            <w:vAlign w:val="center"/>
          </w:tcPr>
          <w:p w14:paraId="289ED5B8" w14:textId="3923F216" w:rsidR="00BD3506" w:rsidRPr="00F553AD" w:rsidRDefault="00BD3506" w:rsidP="00FC6A91">
            <w:pPr>
              <w:jc w:val="both"/>
              <w:rPr>
                <w:rFonts w:asciiTheme="minorHAnsi" w:hAnsiTheme="minorHAnsi" w:cstheme="minorHAnsi"/>
                <w:b/>
                <w:lang w:val="es-ES"/>
              </w:rPr>
            </w:pPr>
            <w:r w:rsidRPr="00F553AD">
              <w:rPr>
                <w:rFonts w:asciiTheme="minorHAnsi" w:hAnsiTheme="minorHAnsi" w:cstheme="minorHAnsi"/>
                <w:b/>
                <w:color w:val="000000"/>
                <w:lang w:val="es-ES"/>
              </w:rPr>
              <w:t>-2</w:t>
            </w:r>
            <w:r w:rsidR="00C133AB"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5%</w:t>
            </w:r>
          </w:p>
        </w:tc>
        <w:tc>
          <w:tcPr>
            <w:tcW w:w="1765" w:type="dxa"/>
            <w:vAlign w:val="center"/>
          </w:tcPr>
          <w:p w14:paraId="7079B88D" w14:textId="330B0617" w:rsidR="00BD3506" w:rsidRPr="00F553AD" w:rsidRDefault="00BD3506" w:rsidP="00FC6A91">
            <w:pPr>
              <w:spacing w:before="100" w:beforeAutospacing="1" w:after="100" w:afterAutospacing="1"/>
              <w:jc w:val="both"/>
              <w:rPr>
                <w:rFonts w:asciiTheme="minorHAnsi" w:hAnsiTheme="minorHAnsi" w:cstheme="minorHAnsi"/>
                <w:b/>
                <w:lang w:val="es-ES"/>
              </w:rPr>
            </w:pPr>
            <w:r w:rsidRPr="00F553AD">
              <w:rPr>
                <w:rFonts w:asciiTheme="minorHAnsi" w:hAnsiTheme="minorHAnsi" w:cstheme="minorHAnsi"/>
                <w:b/>
                <w:color w:val="000000"/>
                <w:lang w:val="es-ES"/>
              </w:rPr>
              <w:t>4</w:t>
            </w:r>
            <w:r w:rsidR="00DB6BD6"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7</w:t>
            </w:r>
          </w:p>
        </w:tc>
        <w:tc>
          <w:tcPr>
            <w:tcW w:w="1571" w:type="dxa"/>
            <w:vAlign w:val="center"/>
          </w:tcPr>
          <w:p w14:paraId="08A9E8B8" w14:textId="48F580DD" w:rsidR="00BD3506" w:rsidRPr="00F553AD" w:rsidRDefault="00BD3506" w:rsidP="00FC6A91">
            <w:pPr>
              <w:jc w:val="both"/>
              <w:rPr>
                <w:rFonts w:asciiTheme="minorHAnsi" w:hAnsiTheme="minorHAnsi" w:cstheme="minorHAnsi"/>
                <w:b/>
                <w:lang w:val="es-ES"/>
              </w:rPr>
            </w:pPr>
            <w:r w:rsidRPr="00F553AD">
              <w:rPr>
                <w:rFonts w:asciiTheme="minorHAnsi" w:hAnsiTheme="minorHAnsi" w:cstheme="minorHAnsi"/>
                <w:b/>
                <w:color w:val="000000"/>
                <w:lang w:val="es-ES"/>
              </w:rPr>
              <w:t>7</w:t>
            </w:r>
            <w:r w:rsidR="00C133AB"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2%</w:t>
            </w:r>
          </w:p>
        </w:tc>
      </w:tr>
      <w:tr w:rsidR="00BD3506" w:rsidRPr="00F553AD" w14:paraId="5E6B6E0E" w14:textId="77777777" w:rsidTr="00F7188C">
        <w:trPr>
          <w:trHeight w:hRule="exact" w:val="283"/>
          <w:jc w:val="center"/>
        </w:trPr>
        <w:tc>
          <w:tcPr>
            <w:tcW w:w="9368" w:type="dxa"/>
            <w:gridSpan w:val="5"/>
            <w:shd w:val="clear" w:color="auto" w:fill="808080" w:themeFill="background1" w:themeFillShade="80"/>
            <w:vAlign w:val="center"/>
          </w:tcPr>
          <w:p w14:paraId="2A9CDA32" w14:textId="492E79AD" w:rsidR="00BD3506" w:rsidRPr="00F553AD" w:rsidRDefault="009000B5" w:rsidP="00FC6A91">
            <w:pPr>
              <w:spacing w:before="100" w:beforeAutospacing="1" w:after="100" w:afterAutospacing="1"/>
              <w:jc w:val="both"/>
              <w:rPr>
                <w:rFonts w:asciiTheme="minorHAnsi" w:hAnsiTheme="minorHAnsi" w:cstheme="minorHAnsi"/>
                <w:b/>
                <w:color w:val="000000"/>
                <w:lang w:val="es-ES"/>
              </w:rPr>
            </w:pPr>
            <w:r w:rsidRPr="00F553AD">
              <w:rPr>
                <w:rFonts w:asciiTheme="minorHAnsi" w:hAnsiTheme="minorHAnsi" w:cstheme="minorHAnsi"/>
                <w:b/>
                <w:color w:val="FFFFFF" w:themeColor="background1"/>
                <w:lang w:val="es-ES"/>
              </w:rPr>
              <w:t>Créditos personales</w:t>
            </w:r>
          </w:p>
        </w:tc>
      </w:tr>
      <w:tr w:rsidR="009000B5" w:rsidRPr="00F553AD" w14:paraId="2F39CF50" w14:textId="77777777" w:rsidTr="000C353A">
        <w:trPr>
          <w:trHeight w:hRule="exact" w:val="283"/>
          <w:jc w:val="center"/>
        </w:trPr>
        <w:tc>
          <w:tcPr>
            <w:tcW w:w="3002" w:type="dxa"/>
            <w:vAlign w:val="center"/>
          </w:tcPr>
          <w:p w14:paraId="57FCEFCD" w14:textId="1B0D03AA" w:rsidR="009000B5" w:rsidRPr="00F553AD" w:rsidRDefault="009000B5" w:rsidP="00FC6A91">
            <w:pPr>
              <w:jc w:val="both"/>
              <w:rPr>
                <w:rFonts w:asciiTheme="minorHAnsi" w:hAnsiTheme="minorHAnsi" w:cstheme="minorHAnsi"/>
                <w:b/>
                <w:color w:val="000000"/>
                <w:lang w:val="es-ES"/>
              </w:rPr>
            </w:pPr>
            <w:r w:rsidRPr="00F553AD">
              <w:rPr>
                <w:rFonts w:asciiTheme="minorHAnsi" w:hAnsiTheme="minorHAnsi" w:cstheme="minorHAnsi"/>
                <w:b/>
                <w:color w:val="000000"/>
                <w:lang w:val="es-ES"/>
              </w:rPr>
              <w:t>Riesgo alto</w:t>
            </w:r>
          </w:p>
        </w:tc>
        <w:tc>
          <w:tcPr>
            <w:tcW w:w="1505" w:type="dxa"/>
            <w:vAlign w:val="center"/>
          </w:tcPr>
          <w:p w14:paraId="1D886324" w14:textId="0D5D7654" w:rsidR="009000B5" w:rsidRPr="00F553AD" w:rsidRDefault="009000B5" w:rsidP="00FC6A91">
            <w:pPr>
              <w:jc w:val="both"/>
              <w:rPr>
                <w:rFonts w:asciiTheme="minorHAnsi" w:hAnsiTheme="minorHAnsi" w:cstheme="minorHAnsi"/>
                <w:b/>
                <w:lang w:val="es-ES"/>
              </w:rPr>
            </w:pPr>
            <w:r w:rsidRPr="00F553AD">
              <w:rPr>
                <w:rFonts w:asciiTheme="minorHAnsi" w:hAnsiTheme="minorHAnsi" w:cstheme="minorHAnsi"/>
                <w:b/>
                <w:lang w:val="es-ES"/>
              </w:rPr>
              <w:t>21</w:t>
            </w:r>
            <w:r w:rsidR="00DB6BD6" w:rsidRPr="00F553AD">
              <w:rPr>
                <w:rFonts w:asciiTheme="minorHAnsi" w:hAnsiTheme="minorHAnsi" w:cstheme="minorHAnsi"/>
                <w:b/>
                <w:lang w:val="es-ES"/>
              </w:rPr>
              <w:t>,</w:t>
            </w:r>
            <w:r w:rsidRPr="00F553AD">
              <w:rPr>
                <w:rFonts w:asciiTheme="minorHAnsi" w:hAnsiTheme="minorHAnsi" w:cstheme="minorHAnsi"/>
                <w:b/>
                <w:lang w:val="es-ES"/>
              </w:rPr>
              <w:t>7</w:t>
            </w:r>
          </w:p>
        </w:tc>
        <w:tc>
          <w:tcPr>
            <w:tcW w:w="1525" w:type="dxa"/>
            <w:vAlign w:val="center"/>
          </w:tcPr>
          <w:p w14:paraId="1450237D" w14:textId="55913866" w:rsidR="009000B5" w:rsidRPr="00F553AD" w:rsidRDefault="009000B5" w:rsidP="00FC6A91">
            <w:pPr>
              <w:jc w:val="both"/>
              <w:rPr>
                <w:rFonts w:asciiTheme="minorHAnsi" w:hAnsiTheme="minorHAnsi" w:cstheme="minorHAnsi"/>
                <w:b/>
                <w:lang w:val="es-ES"/>
              </w:rPr>
            </w:pPr>
            <w:r w:rsidRPr="00F553AD">
              <w:rPr>
                <w:rFonts w:asciiTheme="minorHAnsi" w:hAnsiTheme="minorHAnsi" w:cstheme="minorHAnsi"/>
                <w:b/>
                <w:lang w:val="es-ES"/>
              </w:rPr>
              <w:t>13</w:t>
            </w:r>
            <w:r w:rsidR="00C133AB" w:rsidRPr="00F553AD">
              <w:rPr>
                <w:rFonts w:asciiTheme="minorHAnsi" w:hAnsiTheme="minorHAnsi" w:cstheme="minorHAnsi"/>
                <w:b/>
                <w:lang w:val="es-ES"/>
              </w:rPr>
              <w:t>,</w:t>
            </w:r>
            <w:r w:rsidRPr="00F553AD">
              <w:rPr>
                <w:rFonts w:asciiTheme="minorHAnsi" w:hAnsiTheme="minorHAnsi" w:cstheme="minorHAnsi"/>
                <w:b/>
                <w:lang w:val="es-ES"/>
              </w:rPr>
              <w:t>3%</w:t>
            </w:r>
          </w:p>
        </w:tc>
        <w:tc>
          <w:tcPr>
            <w:tcW w:w="1765" w:type="dxa"/>
            <w:vAlign w:val="center"/>
          </w:tcPr>
          <w:p w14:paraId="616E29DB" w14:textId="3F2D90A0" w:rsidR="009000B5" w:rsidRPr="00F553AD" w:rsidRDefault="009000B5" w:rsidP="00FC6A91">
            <w:pPr>
              <w:spacing w:before="100" w:beforeAutospacing="1" w:after="100" w:afterAutospacing="1"/>
              <w:jc w:val="both"/>
              <w:rPr>
                <w:rFonts w:asciiTheme="minorHAnsi" w:hAnsiTheme="minorHAnsi" w:cstheme="minorHAnsi"/>
                <w:b/>
                <w:lang w:val="es-ES"/>
              </w:rPr>
            </w:pPr>
            <w:r w:rsidRPr="00F553AD">
              <w:rPr>
                <w:rFonts w:asciiTheme="minorHAnsi" w:hAnsiTheme="minorHAnsi" w:cstheme="minorHAnsi"/>
                <w:b/>
                <w:lang w:val="es-ES"/>
              </w:rPr>
              <w:t>19</w:t>
            </w:r>
            <w:r w:rsidR="00DB6BD6" w:rsidRPr="00F553AD">
              <w:rPr>
                <w:rFonts w:asciiTheme="minorHAnsi" w:hAnsiTheme="minorHAnsi" w:cstheme="minorHAnsi"/>
                <w:b/>
                <w:lang w:val="es-ES"/>
              </w:rPr>
              <w:t>,</w:t>
            </w:r>
            <w:r w:rsidRPr="00F553AD">
              <w:rPr>
                <w:rFonts w:asciiTheme="minorHAnsi" w:hAnsiTheme="minorHAnsi" w:cstheme="minorHAnsi"/>
                <w:b/>
                <w:lang w:val="es-ES"/>
              </w:rPr>
              <w:t>2</w:t>
            </w:r>
          </w:p>
        </w:tc>
        <w:tc>
          <w:tcPr>
            <w:tcW w:w="1571" w:type="dxa"/>
            <w:vAlign w:val="center"/>
          </w:tcPr>
          <w:p w14:paraId="5A48A048" w14:textId="52120F5C" w:rsidR="009000B5" w:rsidRPr="00F553AD" w:rsidRDefault="009000B5" w:rsidP="00FC6A91">
            <w:pPr>
              <w:jc w:val="both"/>
              <w:rPr>
                <w:rFonts w:asciiTheme="minorHAnsi" w:hAnsiTheme="minorHAnsi" w:cstheme="minorHAnsi"/>
                <w:b/>
                <w:lang w:val="es-ES"/>
              </w:rPr>
            </w:pPr>
            <w:r w:rsidRPr="00F553AD">
              <w:rPr>
                <w:rFonts w:asciiTheme="minorHAnsi" w:hAnsiTheme="minorHAnsi" w:cstheme="minorHAnsi"/>
                <w:b/>
                <w:lang w:val="es-ES"/>
              </w:rPr>
              <w:t>2</w:t>
            </w:r>
            <w:r w:rsidR="00C133AB" w:rsidRPr="00F553AD">
              <w:rPr>
                <w:rFonts w:asciiTheme="minorHAnsi" w:hAnsiTheme="minorHAnsi" w:cstheme="minorHAnsi"/>
                <w:b/>
                <w:lang w:val="es-ES"/>
              </w:rPr>
              <w:t>,</w:t>
            </w:r>
            <w:r w:rsidRPr="00F553AD">
              <w:rPr>
                <w:rFonts w:asciiTheme="minorHAnsi" w:hAnsiTheme="minorHAnsi" w:cstheme="minorHAnsi"/>
                <w:b/>
                <w:lang w:val="es-ES"/>
              </w:rPr>
              <w:t>5%</w:t>
            </w:r>
          </w:p>
        </w:tc>
      </w:tr>
      <w:tr w:rsidR="009000B5" w:rsidRPr="00F553AD" w14:paraId="76CD5D5B" w14:textId="77777777" w:rsidTr="000C353A">
        <w:trPr>
          <w:trHeight w:hRule="exact" w:val="283"/>
          <w:jc w:val="center"/>
        </w:trPr>
        <w:tc>
          <w:tcPr>
            <w:tcW w:w="3002" w:type="dxa"/>
            <w:vAlign w:val="center"/>
          </w:tcPr>
          <w:p w14:paraId="6DBD58BA" w14:textId="5D4564E0" w:rsidR="009000B5" w:rsidRPr="00F553AD" w:rsidRDefault="009000B5" w:rsidP="00DB6BD6">
            <w:pPr>
              <w:jc w:val="both"/>
              <w:rPr>
                <w:rFonts w:asciiTheme="minorHAnsi" w:hAnsiTheme="minorHAnsi" w:cstheme="minorHAnsi"/>
                <w:b/>
                <w:color w:val="000000"/>
                <w:lang w:val="es-ES"/>
              </w:rPr>
            </w:pPr>
            <w:r w:rsidRPr="00F553AD">
              <w:rPr>
                <w:rFonts w:asciiTheme="minorHAnsi" w:hAnsiTheme="minorHAnsi" w:cstheme="minorHAnsi"/>
                <w:b/>
                <w:color w:val="000000"/>
                <w:lang w:val="es-ES"/>
              </w:rPr>
              <w:t xml:space="preserve">Riesgo medio y </w:t>
            </w:r>
            <w:r w:rsidR="00DB6BD6" w:rsidRPr="00F553AD">
              <w:rPr>
                <w:rFonts w:asciiTheme="minorHAnsi" w:hAnsiTheme="minorHAnsi" w:cstheme="minorHAnsi"/>
                <w:b/>
                <w:color w:val="000000"/>
                <w:lang w:val="es-ES"/>
              </w:rPr>
              <w:t>bajo</w:t>
            </w:r>
          </w:p>
        </w:tc>
        <w:tc>
          <w:tcPr>
            <w:tcW w:w="1505" w:type="dxa"/>
            <w:vAlign w:val="center"/>
          </w:tcPr>
          <w:p w14:paraId="1401DA2C" w14:textId="4A3BBFAA" w:rsidR="009000B5" w:rsidRPr="00F553AD" w:rsidRDefault="009000B5" w:rsidP="00FC6A91">
            <w:pPr>
              <w:jc w:val="both"/>
              <w:rPr>
                <w:rFonts w:asciiTheme="minorHAnsi" w:hAnsiTheme="minorHAnsi" w:cstheme="minorHAnsi"/>
                <w:b/>
                <w:lang w:val="es-ES"/>
              </w:rPr>
            </w:pPr>
            <w:r w:rsidRPr="00F553AD">
              <w:rPr>
                <w:rFonts w:asciiTheme="minorHAnsi" w:hAnsiTheme="minorHAnsi" w:cstheme="minorHAnsi"/>
                <w:b/>
                <w:lang w:val="es-ES"/>
              </w:rPr>
              <w:t>26</w:t>
            </w:r>
            <w:r w:rsidR="00DB6BD6" w:rsidRPr="00F553AD">
              <w:rPr>
                <w:rFonts w:asciiTheme="minorHAnsi" w:hAnsiTheme="minorHAnsi" w:cstheme="minorHAnsi"/>
                <w:b/>
                <w:lang w:val="es-ES"/>
              </w:rPr>
              <w:t>,</w:t>
            </w:r>
            <w:r w:rsidRPr="00F553AD">
              <w:rPr>
                <w:rFonts w:asciiTheme="minorHAnsi" w:hAnsiTheme="minorHAnsi" w:cstheme="minorHAnsi"/>
                <w:b/>
                <w:lang w:val="es-ES"/>
              </w:rPr>
              <w:t>7</w:t>
            </w:r>
          </w:p>
        </w:tc>
        <w:tc>
          <w:tcPr>
            <w:tcW w:w="1525" w:type="dxa"/>
            <w:vAlign w:val="center"/>
          </w:tcPr>
          <w:p w14:paraId="261B948A" w14:textId="7134B1E0" w:rsidR="009000B5" w:rsidRPr="00F553AD" w:rsidRDefault="009000B5" w:rsidP="00FC6A91">
            <w:pPr>
              <w:jc w:val="both"/>
              <w:rPr>
                <w:rFonts w:asciiTheme="minorHAnsi" w:hAnsiTheme="minorHAnsi" w:cstheme="minorHAnsi"/>
                <w:b/>
                <w:lang w:val="es-ES"/>
              </w:rPr>
            </w:pPr>
            <w:r w:rsidRPr="00F553AD">
              <w:rPr>
                <w:rFonts w:asciiTheme="minorHAnsi" w:hAnsiTheme="minorHAnsi" w:cstheme="minorHAnsi"/>
                <w:b/>
                <w:lang w:val="es-ES"/>
              </w:rPr>
              <w:t>6</w:t>
            </w:r>
            <w:r w:rsidR="00C133AB" w:rsidRPr="00F553AD">
              <w:rPr>
                <w:rFonts w:asciiTheme="minorHAnsi" w:hAnsiTheme="minorHAnsi" w:cstheme="minorHAnsi"/>
                <w:b/>
                <w:lang w:val="es-ES"/>
              </w:rPr>
              <w:t>,</w:t>
            </w:r>
            <w:r w:rsidRPr="00F553AD">
              <w:rPr>
                <w:rFonts w:asciiTheme="minorHAnsi" w:hAnsiTheme="minorHAnsi" w:cstheme="minorHAnsi"/>
                <w:b/>
                <w:lang w:val="es-ES"/>
              </w:rPr>
              <w:t xml:space="preserve">1% </w:t>
            </w:r>
          </w:p>
        </w:tc>
        <w:tc>
          <w:tcPr>
            <w:tcW w:w="1765" w:type="dxa"/>
            <w:vAlign w:val="center"/>
          </w:tcPr>
          <w:p w14:paraId="0B1E41B6" w14:textId="0D98C568" w:rsidR="009000B5" w:rsidRPr="00F553AD" w:rsidRDefault="009000B5" w:rsidP="00FC6A91">
            <w:pPr>
              <w:spacing w:before="100" w:beforeAutospacing="1" w:after="100" w:afterAutospacing="1"/>
              <w:jc w:val="both"/>
              <w:rPr>
                <w:rFonts w:asciiTheme="minorHAnsi" w:hAnsiTheme="minorHAnsi" w:cstheme="minorHAnsi"/>
                <w:b/>
                <w:lang w:val="es-ES"/>
              </w:rPr>
            </w:pPr>
            <w:r w:rsidRPr="00F553AD">
              <w:rPr>
                <w:rFonts w:asciiTheme="minorHAnsi" w:hAnsiTheme="minorHAnsi" w:cstheme="minorHAnsi"/>
                <w:b/>
                <w:lang w:val="es-ES"/>
              </w:rPr>
              <w:t>25</w:t>
            </w:r>
            <w:r w:rsidR="00DB6BD6" w:rsidRPr="00F553AD">
              <w:rPr>
                <w:rFonts w:asciiTheme="minorHAnsi" w:hAnsiTheme="minorHAnsi" w:cstheme="minorHAnsi"/>
                <w:b/>
                <w:lang w:val="es-ES"/>
              </w:rPr>
              <w:t>,</w:t>
            </w:r>
            <w:r w:rsidRPr="00F553AD">
              <w:rPr>
                <w:rFonts w:asciiTheme="minorHAnsi" w:hAnsiTheme="minorHAnsi" w:cstheme="minorHAnsi"/>
                <w:b/>
                <w:lang w:val="es-ES"/>
              </w:rPr>
              <w:t>2</w:t>
            </w:r>
          </w:p>
        </w:tc>
        <w:tc>
          <w:tcPr>
            <w:tcW w:w="1571" w:type="dxa"/>
            <w:vAlign w:val="center"/>
          </w:tcPr>
          <w:p w14:paraId="22CB92D9" w14:textId="38D9D0F7" w:rsidR="009000B5" w:rsidRPr="00F553AD" w:rsidRDefault="009000B5" w:rsidP="00FC6A91">
            <w:pPr>
              <w:jc w:val="both"/>
              <w:rPr>
                <w:rFonts w:asciiTheme="minorHAnsi" w:hAnsiTheme="minorHAnsi" w:cstheme="minorHAnsi"/>
                <w:b/>
                <w:lang w:val="es-ES"/>
              </w:rPr>
            </w:pPr>
            <w:r w:rsidRPr="00F553AD">
              <w:rPr>
                <w:rFonts w:asciiTheme="minorHAnsi" w:hAnsiTheme="minorHAnsi" w:cstheme="minorHAnsi"/>
                <w:b/>
                <w:lang w:val="es-ES"/>
              </w:rPr>
              <w:t>10</w:t>
            </w:r>
            <w:r w:rsidR="00C133AB" w:rsidRPr="00F553AD">
              <w:rPr>
                <w:rFonts w:asciiTheme="minorHAnsi" w:hAnsiTheme="minorHAnsi" w:cstheme="minorHAnsi"/>
                <w:b/>
                <w:lang w:val="es-ES"/>
              </w:rPr>
              <w:t>,</w:t>
            </w:r>
            <w:r w:rsidRPr="00F553AD">
              <w:rPr>
                <w:rFonts w:asciiTheme="minorHAnsi" w:hAnsiTheme="minorHAnsi" w:cstheme="minorHAnsi"/>
                <w:b/>
                <w:lang w:val="es-ES"/>
              </w:rPr>
              <w:t>5%</w:t>
            </w:r>
          </w:p>
        </w:tc>
      </w:tr>
      <w:tr w:rsidR="00BD3506" w:rsidRPr="00F553AD" w14:paraId="2482B171" w14:textId="77777777" w:rsidTr="000C353A">
        <w:trPr>
          <w:trHeight w:hRule="exact" w:val="283"/>
          <w:jc w:val="center"/>
        </w:trPr>
        <w:tc>
          <w:tcPr>
            <w:tcW w:w="3002" w:type="dxa"/>
            <w:vAlign w:val="center"/>
          </w:tcPr>
          <w:p w14:paraId="6DB05832" w14:textId="0FF67086" w:rsidR="00BD3506" w:rsidRPr="00F553AD" w:rsidRDefault="00BD3506" w:rsidP="00FC6A91">
            <w:pPr>
              <w:jc w:val="both"/>
              <w:rPr>
                <w:rFonts w:asciiTheme="minorHAnsi" w:hAnsiTheme="minorHAnsi" w:cstheme="minorHAnsi"/>
                <w:b/>
                <w:color w:val="000000"/>
                <w:lang w:val="es-ES"/>
              </w:rPr>
            </w:pPr>
            <w:r w:rsidRPr="00F553AD">
              <w:rPr>
                <w:rFonts w:asciiTheme="minorHAnsi" w:hAnsiTheme="minorHAnsi" w:cstheme="minorHAnsi"/>
                <w:b/>
                <w:color w:val="000000"/>
                <w:lang w:val="es-ES"/>
              </w:rPr>
              <w:t>Total</w:t>
            </w:r>
          </w:p>
        </w:tc>
        <w:tc>
          <w:tcPr>
            <w:tcW w:w="1505" w:type="dxa"/>
            <w:vAlign w:val="center"/>
          </w:tcPr>
          <w:p w14:paraId="21346955" w14:textId="173277B0" w:rsidR="00BD3506" w:rsidRPr="00F553AD" w:rsidRDefault="00BD3506" w:rsidP="00FC6A91">
            <w:pPr>
              <w:jc w:val="both"/>
              <w:rPr>
                <w:rFonts w:asciiTheme="minorHAnsi" w:hAnsiTheme="minorHAnsi" w:cstheme="minorHAnsi"/>
                <w:b/>
                <w:lang w:val="es-ES"/>
              </w:rPr>
            </w:pPr>
            <w:r w:rsidRPr="00F553AD">
              <w:rPr>
                <w:rFonts w:asciiTheme="minorHAnsi" w:hAnsiTheme="minorHAnsi" w:cstheme="minorHAnsi"/>
                <w:b/>
                <w:color w:val="000000"/>
                <w:lang w:val="es-ES"/>
              </w:rPr>
              <w:t>25</w:t>
            </w:r>
            <w:r w:rsidR="00DB6BD6"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4</w:t>
            </w:r>
          </w:p>
        </w:tc>
        <w:tc>
          <w:tcPr>
            <w:tcW w:w="1525" w:type="dxa"/>
            <w:vAlign w:val="center"/>
          </w:tcPr>
          <w:p w14:paraId="72B99C65" w14:textId="06265A41" w:rsidR="00BD3506" w:rsidRPr="00F553AD" w:rsidRDefault="00BD3506" w:rsidP="00FC6A91">
            <w:pPr>
              <w:jc w:val="both"/>
              <w:rPr>
                <w:rFonts w:asciiTheme="minorHAnsi" w:hAnsiTheme="minorHAnsi" w:cstheme="minorHAnsi"/>
                <w:b/>
                <w:lang w:val="es-ES"/>
              </w:rPr>
            </w:pPr>
            <w:r w:rsidRPr="00F553AD">
              <w:rPr>
                <w:rFonts w:asciiTheme="minorHAnsi" w:hAnsiTheme="minorHAnsi" w:cstheme="minorHAnsi"/>
                <w:b/>
                <w:color w:val="000000"/>
                <w:lang w:val="es-ES"/>
              </w:rPr>
              <w:t>6</w:t>
            </w:r>
            <w:r w:rsidR="00C133AB"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 xml:space="preserve">5% </w:t>
            </w:r>
          </w:p>
        </w:tc>
        <w:tc>
          <w:tcPr>
            <w:tcW w:w="1765" w:type="dxa"/>
            <w:vAlign w:val="center"/>
          </w:tcPr>
          <w:p w14:paraId="55B1C993" w14:textId="086135C0" w:rsidR="00BD3506" w:rsidRPr="00F553AD" w:rsidRDefault="00BD3506" w:rsidP="00FC6A91">
            <w:pPr>
              <w:spacing w:before="100" w:beforeAutospacing="1" w:after="100" w:afterAutospacing="1"/>
              <w:jc w:val="both"/>
              <w:rPr>
                <w:rFonts w:asciiTheme="minorHAnsi" w:hAnsiTheme="minorHAnsi" w:cstheme="minorHAnsi"/>
                <w:b/>
                <w:lang w:val="es-ES"/>
              </w:rPr>
            </w:pPr>
            <w:r w:rsidRPr="00F553AD">
              <w:rPr>
                <w:rFonts w:asciiTheme="minorHAnsi" w:hAnsiTheme="minorHAnsi" w:cstheme="minorHAnsi"/>
                <w:b/>
                <w:color w:val="000000"/>
                <w:lang w:val="es-ES"/>
              </w:rPr>
              <w:t>23</w:t>
            </w:r>
            <w:r w:rsidR="00DB6BD6"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 xml:space="preserve">8 </w:t>
            </w:r>
          </w:p>
        </w:tc>
        <w:tc>
          <w:tcPr>
            <w:tcW w:w="1571" w:type="dxa"/>
            <w:vAlign w:val="center"/>
          </w:tcPr>
          <w:p w14:paraId="208EE20C" w14:textId="1457BAD4" w:rsidR="00BD3506" w:rsidRPr="00F553AD" w:rsidRDefault="00BD3506" w:rsidP="00FC6A91">
            <w:pPr>
              <w:jc w:val="both"/>
              <w:rPr>
                <w:rFonts w:asciiTheme="minorHAnsi" w:hAnsiTheme="minorHAnsi" w:cstheme="minorHAnsi"/>
                <w:b/>
                <w:lang w:val="es-ES"/>
              </w:rPr>
            </w:pPr>
            <w:r w:rsidRPr="00F553AD">
              <w:rPr>
                <w:rFonts w:asciiTheme="minorHAnsi" w:hAnsiTheme="minorHAnsi" w:cstheme="minorHAnsi"/>
                <w:b/>
                <w:color w:val="000000"/>
                <w:lang w:val="es-ES"/>
              </w:rPr>
              <w:t>8</w:t>
            </w:r>
            <w:r w:rsidR="00C133AB"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3%</w:t>
            </w:r>
          </w:p>
        </w:tc>
      </w:tr>
    </w:tbl>
    <w:p w14:paraId="51B92345" w14:textId="77777777" w:rsidR="00F553AD" w:rsidRDefault="00F553AD" w:rsidP="00FC6A91">
      <w:pPr>
        <w:spacing w:before="180" w:after="240" w:line="240" w:lineRule="auto"/>
        <w:jc w:val="both"/>
        <w:rPr>
          <w:rFonts w:cstheme="minorHAnsi"/>
          <w:b/>
          <w:i/>
          <w:iCs/>
          <w:sz w:val="20"/>
          <w:szCs w:val="20"/>
          <w:lang w:val="es-ES"/>
        </w:rPr>
      </w:pPr>
    </w:p>
    <w:p w14:paraId="65739F2F" w14:textId="5DE267E8" w:rsidR="00352C18" w:rsidRPr="00F553AD" w:rsidRDefault="00352C18" w:rsidP="00FC6A91">
      <w:pPr>
        <w:spacing w:before="180" w:after="240" w:line="240" w:lineRule="auto"/>
        <w:jc w:val="both"/>
        <w:rPr>
          <w:rFonts w:cstheme="minorHAnsi"/>
          <w:b/>
          <w:i/>
          <w:iCs/>
          <w:sz w:val="24"/>
          <w:szCs w:val="24"/>
          <w:lang w:val="es-ES"/>
        </w:rPr>
      </w:pPr>
      <w:r w:rsidRPr="00F553AD">
        <w:rPr>
          <w:rFonts w:cstheme="minorHAnsi"/>
          <w:b/>
          <w:i/>
          <w:iCs/>
          <w:sz w:val="24"/>
          <w:szCs w:val="24"/>
          <w:lang w:val="es-ES"/>
        </w:rPr>
        <w:t>Dificultades financieras en medio de la pandemia</w:t>
      </w:r>
    </w:p>
    <w:p w14:paraId="4EDBD4D6" w14:textId="6F4C08D9" w:rsidR="008B4F14" w:rsidRPr="00F553AD" w:rsidRDefault="00C133AB" w:rsidP="00FC6A91">
      <w:pPr>
        <w:spacing w:before="180" w:after="240" w:line="240" w:lineRule="auto"/>
        <w:jc w:val="both"/>
        <w:rPr>
          <w:rFonts w:cstheme="minorHAnsi"/>
          <w:bCs/>
          <w:sz w:val="24"/>
          <w:szCs w:val="24"/>
          <w:lang w:val="es-ES"/>
        </w:rPr>
      </w:pPr>
      <w:r w:rsidRPr="00F553AD">
        <w:rPr>
          <w:rFonts w:cstheme="minorHAnsi"/>
          <w:bCs/>
          <w:sz w:val="24"/>
          <w:szCs w:val="24"/>
          <w:lang w:val="es-ES"/>
        </w:rPr>
        <w:t xml:space="preserve">Los resultados del primer trimestre de 2021 de la encuesta de </w:t>
      </w:r>
      <w:proofErr w:type="spellStart"/>
      <w:r w:rsidRPr="00F553AD">
        <w:rPr>
          <w:rFonts w:cstheme="minorHAnsi"/>
          <w:bCs/>
          <w:i/>
          <w:sz w:val="24"/>
          <w:szCs w:val="24"/>
          <w:lang w:val="es-ES"/>
        </w:rPr>
        <w:t>Consumer</w:t>
      </w:r>
      <w:proofErr w:type="spellEnd"/>
      <w:r w:rsidRPr="00F553AD">
        <w:rPr>
          <w:rFonts w:cstheme="minorHAnsi"/>
          <w:bCs/>
          <w:i/>
          <w:sz w:val="24"/>
          <w:szCs w:val="24"/>
          <w:lang w:val="es-ES"/>
        </w:rPr>
        <w:t xml:space="preserve"> Pulse</w:t>
      </w:r>
      <w:r w:rsidRPr="00F553AD">
        <w:rPr>
          <w:rFonts w:cstheme="minorHAnsi"/>
          <w:bCs/>
          <w:sz w:val="24"/>
          <w:szCs w:val="24"/>
          <w:lang w:val="es-ES"/>
        </w:rPr>
        <w:t xml:space="preserve"> (antes encuesta de Dificultades Financieras del Consumidor) de TransUnion confirman estas tendencias de uso del crédito</w:t>
      </w:r>
      <w:r w:rsidR="00DB6BD6" w:rsidRPr="00F553AD">
        <w:rPr>
          <w:rFonts w:cstheme="minorHAnsi"/>
          <w:bCs/>
          <w:sz w:val="24"/>
          <w:szCs w:val="24"/>
          <w:lang w:val="es-ES"/>
        </w:rPr>
        <w:t>,</w:t>
      </w:r>
      <w:r w:rsidR="008B4F14" w:rsidRPr="00F553AD">
        <w:rPr>
          <w:rFonts w:cstheme="minorHAnsi"/>
          <w:bCs/>
          <w:sz w:val="24"/>
          <w:szCs w:val="24"/>
          <w:lang w:val="es-ES"/>
        </w:rPr>
        <w:t xml:space="preserve"> </w:t>
      </w:r>
      <w:r w:rsidR="00382E47" w:rsidRPr="00F553AD">
        <w:rPr>
          <w:rFonts w:cstheme="minorHAnsi"/>
          <w:bCs/>
          <w:sz w:val="24"/>
          <w:szCs w:val="24"/>
          <w:lang w:val="es-ES"/>
        </w:rPr>
        <w:t xml:space="preserve">y muestran </w:t>
      </w:r>
      <w:r w:rsidR="008B4F14" w:rsidRPr="00F553AD">
        <w:rPr>
          <w:rFonts w:cstheme="minorHAnsi"/>
          <w:bCs/>
          <w:sz w:val="24"/>
          <w:szCs w:val="24"/>
          <w:lang w:val="es-ES"/>
        </w:rPr>
        <w:t xml:space="preserve">que los hogares </w:t>
      </w:r>
      <w:r w:rsidR="00DB6BD6" w:rsidRPr="00F553AD">
        <w:rPr>
          <w:rFonts w:cstheme="minorHAnsi"/>
          <w:bCs/>
          <w:sz w:val="24"/>
          <w:szCs w:val="24"/>
          <w:lang w:val="es-ES"/>
        </w:rPr>
        <w:t xml:space="preserve">más afectados continúan </w:t>
      </w:r>
      <w:r w:rsidR="008B4F14" w:rsidRPr="00F553AD">
        <w:rPr>
          <w:rFonts w:cstheme="minorHAnsi"/>
          <w:bCs/>
          <w:sz w:val="24"/>
          <w:szCs w:val="24"/>
          <w:lang w:val="es-ES"/>
        </w:rPr>
        <w:t xml:space="preserve">ajustando sus presupuestos y están asumiendo deudas adicionales para hacer frente a </w:t>
      </w:r>
      <w:r w:rsidR="00006CA0" w:rsidRPr="00F553AD">
        <w:rPr>
          <w:rFonts w:cstheme="minorHAnsi"/>
          <w:bCs/>
          <w:sz w:val="24"/>
          <w:szCs w:val="24"/>
          <w:lang w:val="es-ES"/>
        </w:rPr>
        <w:t>la disminución de ingresos</w:t>
      </w:r>
      <w:r w:rsidR="008B4F14" w:rsidRPr="00F553AD">
        <w:rPr>
          <w:rFonts w:cstheme="minorHAnsi"/>
          <w:bCs/>
          <w:sz w:val="24"/>
          <w:szCs w:val="24"/>
          <w:lang w:val="es-ES"/>
        </w:rPr>
        <w:t xml:space="preserve">. En marzo de 2021, la mitad (50%) de los consumidores colombianos </w:t>
      </w:r>
      <w:r w:rsidR="000C353A" w:rsidRPr="00F553AD">
        <w:rPr>
          <w:rFonts w:cstheme="minorHAnsi"/>
          <w:bCs/>
          <w:sz w:val="24"/>
          <w:szCs w:val="24"/>
          <w:lang w:val="es-ES"/>
        </w:rPr>
        <w:t>indicó</w:t>
      </w:r>
      <w:r w:rsidR="005732D5" w:rsidRPr="00F553AD">
        <w:rPr>
          <w:rFonts w:cstheme="minorHAnsi"/>
          <w:bCs/>
          <w:sz w:val="24"/>
          <w:szCs w:val="24"/>
          <w:lang w:val="es-ES"/>
        </w:rPr>
        <w:t xml:space="preserve"> </w:t>
      </w:r>
      <w:r w:rsidR="008B4F14" w:rsidRPr="00F553AD">
        <w:rPr>
          <w:rFonts w:cstheme="minorHAnsi"/>
          <w:bCs/>
          <w:sz w:val="24"/>
          <w:szCs w:val="24"/>
          <w:lang w:val="es-ES"/>
        </w:rPr>
        <w:t xml:space="preserve">que todavía estaban </w:t>
      </w:r>
      <w:r w:rsidR="00DB6BD6" w:rsidRPr="00F553AD">
        <w:rPr>
          <w:rFonts w:eastAsia="Times New Roman" w:cstheme="minorHAnsi"/>
          <w:sz w:val="24"/>
          <w:szCs w:val="24"/>
          <w:lang w:val="es-CO"/>
        </w:rPr>
        <w:t xml:space="preserve">enfrentando </w:t>
      </w:r>
      <w:r w:rsidR="008B4F14" w:rsidRPr="00F553AD">
        <w:rPr>
          <w:rFonts w:cstheme="minorHAnsi"/>
          <w:bCs/>
          <w:sz w:val="24"/>
          <w:szCs w:val="24"/>
          <w:lang w:val="es-ES"/>
        </w:rPr>
        <w:t xml:space="preserve">dificultades financieras provocadas por la pandemia. Entre </w:t>
      </w:r>
      <w:r w:rsidR="00DB6BD6" w:rsidRPr="00F553AD">
        <w:rPr>
          <w:rFonts w:cstheme="minorHAnsi"/>
          <w:bCs/>
          <w:sz w:val="24"/>
          <w:szCs w:val="24"/>
          <w:lang w:val="es-ES"/>
        </w:rPr>
        <w:t xml:space="preserve">los que </w:t>
      </w:r>
      <w:r w:rsidR="008B4F14" w:rsidRPr="00F553AD">
        <w:rPr>
          <w:rFonts w:cstheme="minorHAnsi"/>
          <w:bCs/>
          <w:sz w:val="24"/>
          <w:szCs w:val="24"/>
          <w:lang w:val="es-ES"/>
        </w:rPr>
        <w:t xml:space="preserve">indicaron estar </w:t>
      </w:r>
      <w:r w:rsidR="00DB6BD6" w:rsidRPr="00F553AD">
        <w:rPr>
          <w:rFonts w:cstheme="minorHAnsi"/>
          <w:bCs/>
          <w:sz w:val="24"/>
          <w:szCs w:val="24"/>
          <w:lang w:val="es-ES"/>
        </w:rPr>
        <w:t xml:space="preserve">siendo </w:t>
      </w:r>
      <w:r w:rsidR="008B4F14" w:rsidRPr="00F553AD">
        <w:rPr>
          <w:rFonts w:cstheme="minorHAnsi"/>
          <w:bCs/>
          <w:sz w:val="24"/>
          <w:szCs w:val="24"/>
          <w:lang w:val="es-ES"/>
        </w:rPr>
        <w:t xml:space="preserve">impactados, los hogares de menores ingresos fueron los más afectados, </w:t>
      </w:r>
      <w:r w:rsidR="00DB6BD6" w:rsidRPr="00F553AD">
        <w:rPr>
          <w:rFonts w:cstheme="minorHAnsi"/>
          <w:bCs/>
          <w:sz w:val="24"/>
          <w:szCs w:val="24"/>
          <w:lang w:val="es-ES"/>
        </w:rPr>
        <w:t xml:space="preserve">con un </w:t>
      </w:r>
      <w:r w:rsidR="008B4F14" w:rsidRPr="00F553AD">
        <w:rPr>
          <w:rFonts w:cstheme="minorHAnsi"/>
          <w:bCs/>
          <w:sz w:val="24"/>
          <w:szCs w:val="24"/>
          <w:lang w:val="es-ES"/>
        </w:rPr>
        <w:t>71% de los hogares con ingresos mensuales menores a 1</w:t>
      </w:r>
      <w:r w:rsidR="00DB6BD6" w:rsidRPr="00F553AD">
        <w:rPr>
          <w:rFonts w:cstheme="minorHAnsi"/>
          <w:bCs/>
          <w:sz w:val="24"/>
          <w:szCs w:val="24"/>
          <w:lang w:val="es-ES"/>
        </w:rPr>
        <w:t xml:space="preserve"> </w:t>
      </w:r>
      <w:r w:rsidR="008B4F14" w:rsidRPr="00F553AD">
        <w:rPr>
          <w:rFonts w:cstheme="minorHAnsi"/>
          <w:bCs/>
          <w:sz w:val="24"/>
          <w:szCs w:val="24"/>
          <w:lang w:val="es-ES"/>
        </w:rPr>
        <w:t xml:space="preserve">millón de pesos reportaron dificultades financieras. </w:t>
      </w:r>
      <w:r w:rsidR="00DB6BD6" w:rsidRPr="00F553AD">
        <w:rPr>
          <w:rFonts w:cstheme="minorHAnsi"/>
          <w:bCs/>
          <w:sz w:val="24"/>
          <w:szCs w:val="24"/>
          <w:lang w:val="es-ES"/>
        </w:rPr>
        <w:t xml:space="preserve">Además, </w:t>
      </w:r>
      <w:r w:rsidR="008B4F14" w:rsidRPr="00F553AD">
        <w:rPr>
          <w:rFonts w:cstheme="minorHAnsi"/>
          <w:bCs/>
          <w:sz w:val="24"/>
          <w:szCs w:val="24"/>
          <w:lang w:val="es-ES"/>
        </w:rPr>
        <w:t xml:space="preserve">el 25% de los consumidores afectados económicamente </w:t>
      </w:r>
      <w:r w:rsidR="00DB6BD6" w:rsidRPr="00F553AD">
        <w:rPr>
          <w:rFonts w:cstheme="minorHAnsi"/>
          <w:bCs/>
          <w:sz w:val="24"/>
          <w:szCs w:val="24"/>
          <w:lang w:val="es-ES"/>
        </w:rPr>
        <w:t xml:space="preserve">indicaron </w:t>
      </w:r>
      <w:r w:rsidR="008B4F14" w:rsidRPr="00F553AD">
        <w:rPr>
          <w:rFonts w:cstheme="minorHAnsi"/>
          <w:bCs/>
          <w:sz w:val="24"/>
          <w:szCs w:val="24"/>
          <w:lang w:val="es-ES"/>
        </w:rPr>
        <w:t xml:space="preserve">haber aumentado el uso del crédito disponible (frente al 19% </w:t>
      </w:r>
      <w:r w:rsidR="005732D5" w:rsidRPr="00F553AD">
        <w:rPr>
          <w:rFonts w:cstheme="minorHAnsi"/>
          <w:bCs/>
          <w:sz w:val="24"/>
          <w:szCs w:val="24"/>
          <w:lang w:val="es-ES"/>
        </w:rPr>
        <w:t xml:space="preserve">observado </w:t>
      </w:r>
      <w:r w:rsidR="008B4F14" w:rsidRPr="00F553AD">
        <w:rPr>
          <w:rFonts w:cstheme="minorHAnsi"/>
          <w:bCs/>
          <w:sz w:val="24"/>
          <w:szCs w:val="24"/>
          <w:lang w:val="es-ES"/>
        </w:rPr>
        <w:t xml:space="preserve">en diciembre), el 12% afirmó haber reducido el ahorro para la jubilación (frente al 11% en diciembre) y el 9% declaró haber recurrido a los ahorros para </w:t>
      </w:r>
      <w:r w:rsidR="00DB6BD6" w:rsidRPr="00F553AD">
        <w:rPr>
          <w:rFonts w:cstheme="minorHAnsi"/>
          <w:bCs/>
          <w:sz w:val="24"/>
          <w:szCs w:val="24"/>
          <w:lang w:val="es-ES"/>
        </w:rPr>
        <w:t>su</w:t>
      </w:r>
      <w:r w:rsidR="008B4F14" w:rsidRPr="00F553AD">
        <w:rPr>
          <w:rFonts w:cstheme="minorHAnsi"/>
          <w:bCs/>
          <w:sz w:val="24"/>
          <w:szCs w:val="24"/>
          <w:lang w:val="es-ES"/>
        </w:rPr>
        <w:t xml:space="preserve"> jubilación (frente al 6% en diciembre).</w:t>
      </w:r>
    </w:p>
    <w:p w14:paraId="25543D20" w14:textId="323FDBBF" w:rsidR="008B4F14" w:rsidRPr="00F553AD" w:rsidRDefault="008B4F14" w:rsidP="00FC6A91">
      <w:pPr>
        <w:spacing w:before="180" w:after="240" w:line="240" w:lineRule="auto"/>
        <w:jc w:val="both"/>
        <w:rPr>
          <w:rFonts w:cstheme="minorHAnsi"/>
          <w:bCs/>
          <w:sz w:val="24"/>
          <w:szCs w:val="24"/>
          <w:lang w:val="es-ES"/>
        </w:rPr>
      </w:pPr>
      <w:r w:rsidRPr="00F553AD">
        <w:rPr>
          <w:rFonts w:cstheme="minorHAnsi"/>
          <w:bCs/>
          <w:sz w:val="24"/>
          <w:szCs w:val="24"/>
          <w:lang w:val="es-ES"/>
        </w:rPr>
        <w:t xml:space="preserve">Por otra parte, </w:t>
      </w:r>
      <w:r w:rsidR="007B44EC" w:rsidRPr="00F553AD">
        <w:rPr>
          <w:rFonts w:cstheme="minorHAnsi"/>
          <w:bCs/>
          <w:sz w:val="24"/>
          <w:szCs w:val="24"/>
          <w:lang w:val="es-ES"/>
        </w:rPr>
        <w:t>de los consumidores que indica</w:t>
      </w:r>
      <w:r w:rsidR="00DB6BD6" w:rsidRPr="00F553AD">
        <w:rPr>
          <w:rFonts w:cstheme="minorHAnsi"/>
          <w:bCs/>
          <w:sz w:val="24"/>
          <w:szCs w:val="24"/>
          <w:lang w:val="es-ES"/>
        </w:rPr>
        <w:t>ro</w:t>
      </w:r>
      <w:r w:rsidR="007B44EC" w:rsidRPr="00F553AD">
        <w:rPr>
          <w:rFonts w:cstheme="minorHAnsi"/>
          <w:bCs/>
          <w:sz w:val="24"/>
          <w:szCs w:val="24"/>
          <w:lang w:val="es-ES"/>
        </w:rPr>
        <w:t xml:space="preserve">n no estar siendo </w:t>
      </w:r>
      <w:r w:rsidRPr="00F553AD">
        <w:rPr>
          <w:rFonts w:cstheme="minorHAnsi"/>
          <w:bCs/>
          <w:sz w:val="24"/>
          <w:szCs w:val="24"/>
          <w:lang w:val="es-ES"/>
        </w:rPr>
        <w:t>afectados financieramente por la pandemia</w:t>
      </w:r>
      <w:r w:rsidR="007B44EC" w:rsidRPr="00F553AD">
        <w:rPr>
          <w:rFonts w:cstheme="minorHAnsi"/>
          <w:bCs/>
          <w:sz w:val="24"/>
          <w:szCs w:val="24"/>
          <w:lang w:val="es-ES"/>
        </w:rPr>
        <w:t>, el 27% informó</w:t>
      </w:r>
      <w:r w:rsidRPr="00F553AD">
        <w:rPr>
          <w:rFonts w:cstheme="minorHAnsi"/>
          <w:bCs/>
          <w:sz w:val="24"/>
          <w:szCs w:val="24"/>
          <w:lang w:val="es-ES"/>
        </w:rPr>
        <w:t xml:space="preserve"> están ahorrando más (igual que en diciembre), mientras que el 31% </w:t>
      </w:r>
      <w:r w:rsidR="007B44EC" w:rsidRPr="00F553AD">
        <w:rPr>
          <w:rFonts w:cstheme="minorHAnsi"/>
          <w:bCs/>
          <w:sz w:val="24"/>
          <w:szCs w:val="24"/>
          <w:lang w:val="es-ES"/>
        </w:rPr>
        <w:lastRenderedPageBreak/>
        <w:t xml:space="preserve">dijo </w:t>
      </w:r>
      <w:r w:rsidRPr="00F553AD">
        <w:rPr>
          <w:rFonts w:cstheme="minorHAnsi"/>
          <w:bCs/>
          <w:sz w:val="24"/>
          <w:szCs w:val="24"/>
          <w:lang w:val="es-ES"/>
        </w:rPr>
        <w:t xml:space="preserve">estar pagando </w:t>
      </w:r>
      <w:r w:rsidR="007B44EC" w:rsidRPr="00F553AD">
        <w:rPr>
          <w:rFonts w:cstheme="minorHAnsi"/>
          <w:bCs/>
          <w:sz w:val="24"/>
          <w:szCs w:val="24"/>
          <w:lang w:val="es-ES"/>
        </w:rPr>
        <w:t xml:space="preserve">sus deudas más rápido </w:t>
      </w:r>
      <w:r w:rsidRPr="00F553AD">
        <w:rPr>
          <w:rFonts w:cstheme="minorHAnsi"/>
          <w:bCs/>
          <w:sz w:val="24"/>
          <w:szCs w:val="24"/>
          <w:lang w:val="es-ES"/>
        </w:rPr>
        <w:t xml:space="preserve">(frente al 20% en diciembre), </w:t>
      </w:r>
      <w:r w:rsidR="007B44EC" w:rsidRPr="00F553AD">
        <w:rPr>
          <w:rFonts w:cstheme="minorHAnsi"/>
          <w:bCs/>
          <w:sz w:val="24"/>
          <w:szCs w:val="24"/>
          <w:lang w:val="es-ES"/>
        </w:rPr>
        <w:t>indicando</w:t>
      </w:r>
      <w:r w:rsidRPr="00F553AD">
        <w:rPr>
          <w:rFonts w:cstheme="minorHAnsi"/>
          <w:bCs/>
          <w:sz w:val="24"/>
          <w:szCs w:val="24"/>
          <w:lang w:val="es-ES"/>
        </w:rPr>
        <w:t xml:space="preserve"> que este grupo de consumidores </w:t>
      </w:r>
      <w:r w:rsidR="00DB6BD6" w:rsidRPr="00F553AD">
        <w:rPr>
          <w:rFonts w:cstheme="minorHAnsi"/>
          <w:bCs/>
          <w:sz w:val="24"/>
          <w:szCs w:val="24"/>
          <w:lang w:val="es-ES"/>
        </w:rPr>
        <w:t xml:space="preserve">continúa disminuyendo sus deudas </w:t>
      </w:r>
      <w:r w:rsidRPr="00F553AD">
        <w:rPr>
          <w:rFonts w:cstheme="minorHAnsi"/>
          <w:bCs/>
          <w:sz w:val="24"/>
          <w:szCs w:val="24"/>
          <w:lang w:val="es-ES"/>
        </w:rPr>
        <w:t xml:space="preserve">y ahorrando. Este grupo también está gastando menos, </w:t>
      </w:r>
      <w:r w:rsidR="003139CC" w:rsidRPr="00F553AD">
        <w:rPr>
          <w:rFonts w:cstheme="minorHAnsi"/>
          <w:bCs/>
          <w:sz w:val="24"/>
          <w:szCs w:val="24"/>
          <w:lang w:val="es-ES"/>
        </w:rPr>
        <w:t xml:space="preserve">con </w:t>
      </w:r>
      <w:r w:rsidRPr="00F553AD">
        <w:rPr>
          <w:rFonts w:cstheme="minorHAnsi"/>
          <w:bCs/>
          <w:sz w:val="24"/>
          <w:szCs w:val="24"/>
          <w:lang w:val="es-ES"/>
        </w:rPr>
        <w:t>el 61% indica</w:t>
      </w:r>
      <w:r w:rsidR="003139CC" w:rsidRPr="00F553AD">
        <w:rPr>
          <w:rFonts w:cstheme="minorHAnsi"/>
          <w:bCs/>
          <w:sz w:val="24"/>
          <w:szCs w:val="24"/>
          <w:lang w:val="es-ES"/>
        </w:rPr>
        <w:t>ndo</w:t>
      </w:r>
      <w:r w:rsidRPr="00F553AD">
        <w:rPr>
          <w:rFonts w:cstheme="minorHAnsi"/>
          <w:bCs/>
          <w:sz w:val="24"/>
          <w:szCs w:val="24"/>
          <w:lang w:val="es-ES"/>
        </w:rPr>
        <w:t xml:space="preserve"> que ha reducido su gasto discrecional (frente al 36% de diciembre) y el 20% </w:t>
      </w:r>
      <w:r w:rsidR="003139CC" w:rsidRPr="00F553AD">
        <w:rPr>
          <w:rFonts w:cstheme="minorHAnsi"/>
          <w:bCs/>
          <w:sz w:val="24"/>
          <w:szCs w:val="24"/>
          <w:lang w:val="es-ES"/>
        </w:rPr>
        <w:t xml:space="preserve">que </w:t>
      </w:r>
      <w:r w:rsidRPr="00F553AD">
        <w:rPr>
          <w:rFonts w:cstheme="minorHAnsi"/>
          <w:bCs/>
          <w:sz w:val="24"/>
          <w:szCs w:val="24"/>
          <w:lang w:val="es-ES"/>
        </w:rPr>
        <w:t>ha cancelado suscripciones o membresías (frente al 16% de diciembre).</w:t>
      </w:r>
    </w:p>
    <w:p w14:paraId="62C15179" w14:textId="7765C609" w:rsidR="00BC3600" w:rsidRPr="00F553AD" w:rsidRDefault="00352C18" w:rsidP="00FC6A91">
      <w:pPr>
        <w:spacing w:before="180" w:after="240" w:line="240" w:lineRule="auto"/>
        <w:jc w:val="both"/>
        <w:rPr>
          <w:rFonts w:eastAsia="Times New Roman" w:cstheme="minorHAnsi"/>
          <w:b/>
          <w:bCs/>
          <w:i/>
          <w:sz w:val="24"/>
          <w:szCs w:val="24"/>
          <w:lang w:val="es-ES"/>
        </w:rPr>
      </w:pPr>
      <w:r w:rsidRPr="00F553AD">
        <w:rPr>
          <w:rFonts w:eastAsia="Times New Roman" w:cstheme="minorHAnsi"/>
          <w:b/>
          <w:bCs/>
          <w:i/>
          <w:sz w:val="24"/>
          <w:szCs w:val="24"/>
          <w:lang w:val="es-ES"/>
        </w:rPr>
        <w:t xml:space="preserve">Caída en </w:t>
      </w:r>
      <w:proofErr w:type="spellStart"/>
      <w:r w:rsidRPr="00F553AD">
        <w:rPr>
          <w:rFonts w:eastAsia="Times New Roman" w:cstheme="minorHAnsi"/>
          <w:b/>
          <w:bCs/>
          <w:i/>
          <w:sz w:val="24"/>
          <w:szCs w:val="24"/>
          <w:lang w:val="es-ES"/>
        </w:rPr>
        <w:t>originaciones</w:t>
      </w:r>
      <w:proofErr w:type="spellEnd"/>
      <w:r w:rsidR="00BC3600" w:rsidRPr="00F553AD">
        <w:rPr>
          <w:rFonts w:eastAsia="Times New Roman" w:cstheme="minorHAnsi"/>
          <w:b/>
          <w:bCs/>
          <w:i/>
          <w:sz w:val="24"/>
          <w:szCs w:val="24"/>
          <w:lang w:val="es-ES"/>
        </w:rPr>
        <w:t xml:space="preserve"> </w:t>
      </w:r>
    </w:p>
    <w:p w14:paraId="27B6AC0E" w14:textId="00E34BDC" w:rsidR="00352C18" w:rsidRPr="00F553AD" w:rsidRDefault="004F1699" w:rsidP="00FC6A91">
      <w:pPr>
        <w:spacing w:before="180" w:after="240" w:line="240" w:lineRule="auto"/>
        <w:jc w:val="both"/>
        <w:rPr>
          <w:rFonts w:cstheme="minorHAnsi"/>
          <w:bCs/>
          <w:sz w:val="24"/>
          <w:szCs w:val="24"/>
          <w:lang w:val="es-ES"/>
        </w:rPr>
      </w:pPr>
      <w:r w:rsidRPr="00F553AD">
        <w:rPr>
          <w:rFonts w:cstheme="minorHAnsi"/>
          <w:bCs/>
          <w:sz w:val="24"/>
          <w:szCs w:val="24"/>
          <w:lang w:val="es-ES"/>
        </w:rPr>
        <w:t>L</w:t>
      </w:r>
      <w:r w:rsidR="00BC3600" w:rsidRPr="00F553AD">
        <w:rPr>
          <w:rFonts w:cstheme="minorHAnsi"/>
          <w:bCs/>
          <w:sz w:val="24"/>
          <w:szCs w:val="24"/>
          <w:lang w:val="es-ES"/>
        </w:rPr>
        <w:t xml:space="preserve">as originaciones, </w:t>
      </w:r>
      <w:r w:rsidRPr="00F553AD">
        <w:rPr>
          <w:rFonts w:cstheme="minorHAnsi"/>
          <w:bCs/>
          <w:sz w:val="24"/>
          <w:szCs w:val="24"/>
          <w:lang w:val="es-ES"/>
        </w:rPr>
        <w:t xml:space="preserve">que son una medida de </w:t>
      </w:r>
      <w:r w:rsidR="00BC3600" w:rsidRPr="00F553AD">
        <w:rPr>
          <w:rFonts w:cstheme="minorHAnsi"/>
          <w:bCs/>
          <w:sz w:val="24"/>
          <w:szCs w:val="24"/>
          <w:lang w:val="es-ES"/>
        </w:rPr>
        <w:t>nuevas cuentas abiertas</w:t>
      </w:r>
      <w:r w:rsidR="003F2DCA" w:rsidRPr="00F553AD">
        <w:rPr>
          <w:rFonts w:cstheme="minorHAnsi"/>
          <w:bCs/>
          <w:sz w:val="24"/>
          <w:szCs w:val="24"/>
          <w:lang w:val="es-ES"/>
        </w:rPr>
        <w:t xml:space="preserve"> y </w:t>
      </w:r>
      <w:r w:rsidR="00BC3600" w:rsidRPr="00F553AD">
        <w:rPr>
          <w:rFonts w:cstheme="minorHAnsi"/>
          <w:bCs/>
          <w:sz w:val="24"/>
          <w:szCs w:val="24"/>
          <w:lang w:val="es-ES"/>
        </w:rPr>
        <w:t>un</w:t>
      </w:r>
      <w:r w:rsidRPr="00F553AD">
        <w:rPr>
          <w:rFonts w:cstheme="minorHAnsi"/>
          <w:bCs/>
          <w:sz w:val="24"/>
          <w:szCs w:val="24"/>
          <w:lang w:val="es-ES"/>
        </w:rPr>
        <w:t xml:space="preserve">a señal </w:t>
      </w:r>
      <w:r w:rsidR="00BC3600" w:rsidRPr="00F553AD">
        <w:rPr>
          <w:rFonts w:cstheme="minorHAnsi"/>
          <w:bCs/>
          <w:sz w:val="24"/>
          <w:szCs w:val="24"/>
          <w:lang w:val="es-ES"/>
        </w:rPr>
        <w:t xml:space="preserve">tanto de la demanda de los consumidores como de la disposición de las entidades financieras a </w:t>
      </w:r>
      <w:r w:rsidRPr="00F553AD">
        <w:rPr>
          <w:rFonts w:cstheme="minorHAnsi"/>
          <w:bCs/>
          <w:sz w:val="24"/>
          <w:szCs w:val="24"/>
          <w:lang w:val="es-ES"/>
        </w:rPr>
        <w:t xml:space="preserve">otorgar </w:t>
      </w:r>
      <w:r w:rsidR="00BC3600" w:rsidRPr="00F553AD">
        <w:rPr>
          <w:rFonts w:cstheme="minorHAnsi"/>
          <w:bCs/>
          <w:sz w:val="24"/>
          <w:szCs w:val="24"/>
          <w:lang w:val="es-ES"/>
        </w:rPr>
        <w:t>créditos</w:t>
      </w:r>
      <w:r w:rsidR="003F2DCA" w:rsidRPr="00F553AD">
        <w:rPr>
          <w:rFonts w:cstheme="minorHAnsi"/>
          <w:bCs/>
          <w:sz w:val="24"/>
          <w:szCs w:val="24"/>
          <w:lang w:val="es-ES"/>
        </w:rPr>
        <w:t>,</w:t>
      </w:r>
      <w:r w:rsidR="00BC3600" w:rsidRPr="00F553AD">
        <w:rPr>
          <w:rFonts w:cstheme="minorHAnsi"/>
          <w:bCs/>
          <w:sz w:val="24"/>
          <w:szCs w:val="24"/>
          <w:lang w:val="es-ES"/>
        </w:rPr>
        <w:t xml:space="preserve"> </w:t>
      </w:r>
      <w:r w:rsidRPr="00F553AD">
        <w:rPr>
          <w:rFonts w:cstheme="minorHAnsi"/>
          <w:bCs/>
          <w:sz w:val="24"/>
          <w:szCs w:val="24"/>
          <w:lang w:val="es-ES"/>
        </w:rPr>
        <w:t xml:space="preserve">disminuyeron año contra año </w:t>
      </w:r>
      <w:r w:rsidR="00F11049" w:rsidRPr="00F553AD">
        <w:rPr>
          <w:rFonts w:cstheme="minorHAnsi"/>
          <w:bCs/>
          <w:sz w:val="24"/>
          <w:szCs w:val="24"/>
          <w:lang w:val="es-ES"/>
        </w:rPr>
        <w:t xml:space="preserve">para </w:t>
      </w:r>
      <w:r w:rsidR="00BC3600" w:rsidRPr="00F553AD">
        <w:rPr>
          <w:rFonts w:cstheme="minorHAnsi"/>
          <w:bCs/>
          <w:sz w:val="24"/>
          <w:szCs w:val="24"/>
          <w:lang w:val="es-ES"/>
        </w:rPr>
        <w:t>todas las categorías de productos</w:t>
      </w:r>
      <w:r w:rsidRPr="00F553AD">
        <w:rPr>
          <w:rFonts w:cstheme="minorHAnsi"/>
          <w:bCs/>
          <w:sz w:val="24"/>
          <w:szCs w:val="24"/>
          <w:lang w:val="es-ES"/>
        </w:rPr>
        <w:t xml:space="preserve"> en enero 2021</w:t>
      </w:r>
      <w:r w:rsidR="00352C18" w:rsidRPr="00F553AD">
        <w:rPr>
          <w:rFonts w:cstheme="minorHAnsi"/>
          <w:bCs/>
          <w:sz w:val="24"/>
          <w:szCs w:val="24"/>
          <w:lang w:val="es-ES"/>
        </w:rPr>
        <w:t xml:space="preserve">. </w:t>
      </w:r>
      <w:r w:rsidR="00F11049" w:rsidRPr="00F553AD">
        <w:rPr>
          <w:rFonts w:cstheme="minorHAnsi"/>
          <w:bCs/>
          <w:sz w:val="24"/>
          <w:szCs w:val="24"/>
          <w:lang w:val="es-ES"/>
        </w:rPr>
        <w:t>Las caídas</w:t>
      </w:r>
      <w:r w:rsidR="00352C18" w:rsidRPr="00F553AD">
        <w:rPr>
          <w:rFonts w:cstheme="minorHAnsi"/>
          <w:bCs/>
          <w:sz w:val="24"/>
          <w:szCs w:val="24"/>
          <w:lang w:val="es-ES"/>
        </w:rPr>
        <w:t xml:space="preserve"> </w:t>
      </w:r>
      <w:r w:rsidR="00F11049" w:rsidRPr="00F553AD">
        <w:rPr>
          <w:rFonts w:cstheme="minorHAnsi"/>
          <w:bCs/>
          <w:sz w:val="24"/>
          <w:szCs w:val="24"/>
          <w:lang w:val="es-ES"/>
        </w:rPr>
        <w:t xml:space="preserve">anuales </w:t>
      </w:r>
      <w:r w:rsidR="00352C18" w:rsidRPr="00F553AD">
        <w:rPr>
          <w:rFonts w:cstheme="minorHAnsi"/>
          <w:bCs/>
          <w:sz w:val="24"/>
          <w:szCs w:val="24"/>
          <w:lang w:val="es-ES"/>
        </w:rPr>
        <w:t>más significativ</w:t>
      </w:r>
      <w:r w:rsidR="00F11049" w:rsidRPr="00F553AD">
        <w:rPr>
          <w:rFonts w:cstheme="minorHAnsi"/>
          <w:bCs/>
          <w:sz w:val="24"/>
          <w:szCs w:val="24"/>
          <w:lang w:val="es-ES"/>
        </w:rPr>
        <w:t>a</w:t>
      </w:r>
      <w:r w:rsidR="00352C18" w:rsidRPr="00F553AD">
        <w:rPr>
          <w:rFonts w:cstheme="minorHAnsi"/>
          <w:bCs/>
          <w:sz w:val="24"/>
          <w:szCs w:val="24"/>
          <w:lang w:val="es-ES"/>
        </w:rPr>
        <w:t xml:space="preserve">s en originaciones se </w:t>
      </w:r>
      <w:r w:rsidRPr="00F553AD">
        <w:rPr>
          <w:rFonts w:cstheme="minorHAnsi"/>
          <w:bCs/>
          <w:sz w:val="24"/>
          <w:szCs w:val="24"/>
          <w:lang w:val="es-ES"/>
        </w:rPr>
        <w:t xml:space="preserve">observaron </w:t>
      </w:r>
      <w:r w:rsidR="00352C18" w:rsidRPr="00F553AD">
        <w:rPr>
          <w:rFonts w:cstheme="minorHAnsi"/>
          <w:bCs/>
          <w:sz w:val="24"/>
          <w:szCs w:val="24"/>
          <w:lang w:val="es-ES"/>
        </w:rPr>
        <w:t xml:space="preserve">en tarjetas de crédito (53,3%), </w:t>
      </w:r>
      <w:r w:rsidR="00F11049" w:rsidRPr="00F553AD">
        <w:rPr>
          <w:rFonts w:cstheme="minorHAnsi"/>
          <w:bCs/>
          <w:sz w:val="24"/>
          <w:szCs w:val="24"/>
          <w:lang w:val="es-ES"/>
        </w:rPr>
        <w:t xml:space="preserve">créditos </w:t>
      </w:r>
      <w:r w:rsidR="00352C18" w:rsidRPr="00F553AD">
        <w:rPr>
          <w:rFonts w:cstheme="minorHAnsi"/>
          <w:bCs/>
          <w:sz w:val="24"/>
          <w:szCs w:val="24"/>
          <w:lang w:val="es-ES"/>
        </w:rPr>
        <w:t xml:space="preserve">personales (34,2%) y microcréditos (25,8%), lo que indica que los consumidores están siendo </w:t>
      </w:r>
      <w:r w:rsidR="00F11049" w:rsidRPr="00F553AD">
        <w:rPr>
          <w:rFonts w:cstheme="minorHAnsi"/>
          <w:bCs/>
          <w:sz w:val="24"/>
          <w:szCs w:val="24"/>
          <w:lang w:val="es-ES"/>
        </w:rPr>
        <w:t xml:space="preserve">cautelosos </w:t>
      </w:r>
      <w:r w:rsidR="00352C18" w:rsidRPr="00F553AD">
        <w:rPr>
          <w:rFonts w:cstheme="minorHAnsi"/>
          <w:bCs/>
          <w:sz w:val="24"/>
          <w:szCs w:val="24"/>
          <w:lang w:val="es-ES"/>
        </w:rPr>
        <w:t>a la hora de solicitar nuevos créditos y que l</w:t>
      </w:r>
      <w:r w:rsidR="00F11049" w:rsidRPr="00F553AD">
        <w:rPr>
          <w:rFonts w:cstheme="minorHAnsi"/>
          <w:bCs/>
          <w:sz w:val="24"/>
          <w:szCs w:val="24"/>
          <w:lang w:val="es-ES"/>
        </w:rPr>
        <w:t xml:space="preserve">as entidades </w:t>
      </w:r>
      <w:r w:rsidRPr="00F553AD">
        <w:rPr>
          <w:rFonts w:cstheme="minorHAnsi"/>
          <w:bCs/>
          <w:sz w:val="24"/>
          <w:szCs w:val="24"/>
          <w:lang w:val="es-ES"/>
        </w:rPr>
        <w:t>podrían</w:t>
      </w:r>
      <w:r w:rsidR="00352C18" w:rsidRPr="00F553AD">
        <w:rPr>
          <w:rFonts w:cstheme="minorHAnsi"/>
          <w:bCs/>
          <w:sz w:val="24"/>
          <w:szCs w:val="24"/>
          <w:lang w:val="es-ES"/>
        </w:rPr>
        <w:t xml:space="preserve"> estar </w:t>
      </w:r>
      <w:r w:rsidRPr="00F553AD">
        <w:rPr>
          <w:rFonts w:cstheme="minorHAnsi"/>
          <w:bCs/>
          <w:sz w:val="24"/>
          <w:szCs w:val="24"/>
          <w:lang w:val="es-ES"/>
        </w:rPr>
        <w:t xml:space="preserve">monitoreando </w:t>
      </w:r>
      <w:r w:rsidR="00352C18" w:rsidRPr="00F553AD">
        <w:rPr>
          <w:rFonts w:cstheme="minorHAnsi"/>
          <w:bCs/>
          <w:sz w:val="24"/>
          <w:szCs w:val="24"/>
          <w:lang w:val="es-ES"/>
        </w:rPr>
        <w:t>la oferta de nuevos créditos con prudencia.</w:t>
      </w:r>
      <w:r w:rsidRPr="00F553AD">
        <w:rPr>
          <w:rFonts w:cstheme="minorHAnsi"/>
          <w:bCs/>
          <w:sz w:val="24"/>
          <w:szCs w:val="24"/>
          <w:lang w:val="es-ES"/>
        </w:rPr>
        <w:t xml:space="preserve"> Además, en</w:t>
      </w:r>
      <w:r w:rsidRPr="00F553AD">
        <w:rPr>
          <w:rFonts w:cstheme="minorHAnsi"/>
          <w:sz w:val="24"/>
          <w:szCs w:val="24"/>
          <w:lang w:val="es-CO"/>
        </w:rPr>
        <w:t xml:space="preserve"> </w:t>
      </w:r>
      <w:r w:rsidRPr="00F553AD">
        <w:rPr>
          <w:rFonts w:cstheme="minorHAnsi"/>
          <w:bCs/>
          <w:sz w:val="24"/>
          <w:szCs w:val="24"/>
          <w:lang w:val="es-ES"/>
        </w:rPr>
        <w:t>enero se volvieron a implementar restricciones a la movilidad en Colombia para controlar el aumento de casos de COVID-19, lo que explica parte del deterioro observado en las originaciones durante ese mes.</w:t>
      </w:r>
    </w:p>
    <w:p w14:paraId="362BCCDE" w14:textId="77777777" w:rsidR="00F7188C" w:rsidRPr="00F553AD" w:rsidRDefault="00F7188C" w:rsidP="007C2B1A">
      <w:pPr>
        <w:spacing w:after="0" w:line="240" w:lineRule="auto"/>
        <w:contextualSpacing/>
        <w:jc w:val="both"/>
        <w:rPr>
          <w:rFonts w:eastAsia="Times New Roman" w:cstheme="minorHAnsi"/>
          <w:b/>
          <w:sz w:val="20"/>
          <w:szCs w:val="20"/>
          <w:lang w:val="es-ES"/>
        </w:rPr>
      </w:pPr>
    </w:p>
    <w:p w14:paraId="57035F3D" w14:textId="717C48B7" w:rsidR="00A91DAA" w:rsidRPr="00F553AD" w:rsidRDefault="003F2DCA" w:rsidP="000C353A">
      <w:pPr>
        <w:spacing w:after="0" w:line="240" w:lineRule="auto"/>
        <w:contextualSpacing/>
        <w:jc w:val="center"/>
        <w:rPr>
          <w:rFonts w:eastAsia="Times New Roman" w:cstheme="minorHAnsi"/>
          <w:b/>
          <w:sz w:val="20"/>
          <w:szCs w:val="20"/>
          <w:lang w:val="es-ES"/>
        </w:rPr>
      </w:pPr>
      <w:r w:rsidRPr="00F553AD">
        <w:rPr>
          <w:rFonts w:eastAsia="Times New Roman" w:cstheme="minorHAnsi"/>
          <w:b/>
          <w:sz w:val="20"/>
          <w:szCs w:val="20"/>
          <w:lang w:val="es-ES"/>
        </w:rPr>
        <w:t xml:space="preserve">Variación </w:t>
      </w:r>
      <w:r w:rsidR="004F1699" w:rsidRPr="00F553AD">
        <w:rPr>
          <w:rFonts w:eastAsia="Times New Roman" w:cstheme="minorHAnsi"/>
          <w:b/>
          <w:sz w:val="20"/>
          <w:szCs w:val="20"/>
          <w:lang w:val="es-ES"/>
        </w:rPr>
        <w:t>An</w:t>
      </w:r>
      <w:r w:rsidRPr="00F553AD">
        <w:rPr>
          <w:rFonts w:eastAsia="Times New Roman" w:cstheme="minorHAnsi"/>
          <w:b/>
          <w:sz w:val="20"/>
          <w:szCs w:val="20"/>
          <w:lang w:val="es-ES"/>
        </w:rPr>
        <w:t xml:space="preserve">ual en </w:t>
      </w:r>
      <w:r w:rsidR="004F1699" w:rsidRPr="00F553AD">
        <w:rPr>
          <w:rFonts w:eastAsia="Times New Roman" w:cstheme="minorHAnsi"/>
          <w:b/>
          <w:sz w:val="20"/>
          <w:szCs w:val="20"/>
          <w:lang w:val="es-ES"/>
        </w:rPr>
        <w:t>O</w:t>
      </w:r>
      <w:r w:rsidRPr="00F553AD">
        <w:rPr>
          <w:rFonts w:eastAsia="Times New Roman" w:cstheme="minorHAnsi"/>
          <w:b/>
          <w:sz w:val="20"/>
          <w:szCs w:val="20"/>
          <w:lang w:val="es-ES"/>
        </w:rPr>
        <w:t xml:space="preserve">riginaciones </w:t>
      </w:r>
      <w:r w:rsidR="004F1699" w:rsidRPr="00F553AD">
        <w:rPr>
          <w:rFonts w:eastAsia="Times New Roman" w:cstheme="minorHAnsi"/>
          <w:b/>
          <w:sz w:val="20"/>
          <w:szCs w:val="20"/>
          <w:lang w:val="es-ES"/>
        </w:rPr>
        <w:t>M</w:t>
      </w:r>
      <w:r w:rsidRPr="00F553AD">
        <w:rPr>
          <w:rFonts w:eastAsia="Times New Roman" w:cstheme="minorHAnsi"/>
          <w:b/>
          <w:sz w:val="20"/>
          <w:szCs w:val="20"/>
          <w:lang w:val="es-ES"/>
        </w:rPr>
        <w:t>ens</w:t>
      </w:r>
      <w:r w:rsidR="00916B68" w:rsidRPr="00F553AD">
        <w:rPr>
          <w:rFonts w:eastAsia="Times New Roman" w:cstheme="minorHAnsi"/>
          <w:b/>
          <w:sz w:val="20"/>
          <w:szCs w:val="20"/>
          <w:lang w:val="es-ES"/>
        </w:rPr>
        <w:t>u</w:t>
      </w:r>
      <w:r w:rsidRPr="00F553AD">
        <w:rPr>
          <w:rFonts w:eastAsia="Times New Roman" w:cstheme="minorHAnsi"/>
          <w:b/>
          <w:sz w:val="20"/>
          <w:szCs w:val="20"/>
          <w:lang w:val="es-ES"/>
        </w:rPr>
        <w:t xml:space="preserve">ales por </w:t>
      </w:r>
      <w:r w:rsidR="004F1699" w:rsidRPr="00F553AD">
        <w:rPr>
          <w:rFonts w:eastAsia="Times New Roman" w:cstheme="minorHAnsi"/>
          <w:b/>
          <w:sz w:val="20"/>
          <w:szCs w:val="20"/>
          <w:lang w:val="es-ES"/>
        </w:rPr>
        <w:t>P</w:t>
      </w:r>
      <w:r w:rsidRPr="00F553AD">
        <w:rPr>
          <w:rFonts w:eastAsia="Times New Roman" w:cstheme="minorHAnsi"/>
          <w:b/>
          <w:sz w:val="20"/>
          <w:szCs w:val="20"/>
          <w:lang w:val="es-ES"/>
        </w:rPr>
        <w:t>roducto</w:t>
      </w:r>
    </w:p>
    <w:p w14:paraId="5A1F2677" w14:textId="47FE8F70" w:rsidR="00564EC4" w:rsidRPr="00F553AD" w:rsidRDefault="003F2DCA" w:rsidP="000C353A">
      <w:pPr>
        <w:spacing w:after="0" w:line="240" w:lineRule="auto"/>
        <w:contextualSpacing/>
        <w:jc w:val="center"/>
        <w:rPr>
          <w:rFonts w:eastAsia="Times New Roman" w:cstheme="minorHAnsi"/>
          <w:b/>
          <w:sz w:val="20"/>
          <w:szCs w:val="20"/>
          <w:lang w:val="es-ES"/>
        </w:rPr>
      </w:pPr>
      <w:r w:rsidRPr="00F553AD">
        <w:rPr>
          <w:rFonts w:eastAsia="Times New Roman" w:cstheme="minorHAnsi"/>
          <w:b/>
          <w:sz w:val="20"/>
          <w:szCs w:val="20"/>
          <w:lang w:val="es-ES"/>
        </w:rPr>
        <w:t xml:space="preserve">Noviembre 2020 - </w:t>
      </w:r>
      <w:proofErr w:type="gramStart"/>
      <w:r w:rsidR="004F1699" w:rsidRPr="00F553AD">
        <w:rPr>
          <w:rFonts w:eastAsia="Times New Roman" w:cstheme="minorHAnsi"/>
          <w:b/>
          <w:sz w:val="20"/>
          <w:szCs w:val="20"/>
          <w:lang w:val="es-ES"/>
        </w:rPr>
        <w:t>E</w:t>
      </w:r>
      <w:r w:rsidR="007C2B1A" w:rsidRPr="00F553AD">
        <w:rPr>
          <w:rFonts w:eastAsia="Times New Roman" w:cstheme="minorHAnsi"/>
          <w:b/>
          <w:sz w:val="20"/>
          <w:szCs w:val="20"/>
          <w:lang w:val="es-ES"/>
        </w:rPr>
        <w:t>nero</w:t>
      </w:r>
      <w:proofErr w:type="gramEnd"/>
      <w:r w:rsidRPr="00F553AD">
        <w:rPr>
          <w:rFonts w:eastAsia="Times New Roman" w:cstheme="minorHAnsi"/>
          <w:b/>
          <w:sz w:val="20"/>
          <w:szCs w:val="20"/>
          <w:lang w:val="es-ES"/>
        </w:rPr>
        <w:t xml:space="preserve"> 2021</w:t>
      </w:r>
    </w:p>
    <w:p w14:paraId="61ECA644" w14:textId="77777777" w:rsidR="00F7188C" w:rsidRPr="00F553AD" w:rsidRDefault="00F7188C" w:rsidP="007C2B1A">
      <w:pPr>
        <w:spacing w:after="0" w:line="240" w:lineRule="auto"/>
        <w:contextualSpacing/>
        <w:jc w:val="both"/>
        <w:rPr>
          <w:rFonts w:eastAsia="Times New Roman" w:cstheme="minorHAnsi"/>
          <w:b/>
          <w:sz w:val="20"/>
          <w:szCs w:val="20"/>
          <w:lang w:val="es-ES"/>
        </w:rPr>
      </w:pPr>
    </w:p>
    <w:tbl>
      <w:tblPr>
        <w:tblStyle w:val="Tablaconcuadrcula"/>
        <w:tblpPr w:leftFromText="141" w:rightFromText="141" w:vertAnchor="text" w:horzAnchor="margin" w:tblpXSpec="center" w:tblpY="-75"/>
        <w:tblW w:w="7124" w:type="dxa"/>
        <w:tblLook w:val="04A0" w:firstRow="1" w:lastRow="0" w:firstColumn="1" w:lastColumn="0" w:noHBand="0" w:noVBand="1"/>
      </w:tblPr>
      <w:tblGrid>
        <w:gridCol w:w="3107"/>
        <w:gridCol w:w="1339"/>
        <w:gridCol w:w="1339"/>
        <w:gridCol w:w="1339"/>
      </w:tblGrid>
      <w:tr w:rsidR="00F7188C" w:rsidRPr="00F553AD" w14:paraId="57189901" w14:textId="77777777" w:rsidTr="00F7188C">
        <w:trPr>
          <w:trHeight w:val="528"/>
        </w:trPr>
        <w:tc>
          <w:tcPr>
            <w:tcW w:w="3107" w:type="dxa"/>
            <w:shd w:val="clear" w:color="auto" w:fill="808080" w:themeFill="background1" w:themeFillShade="80"/>
            <w:vAlign w:val="center"/>
            <w:hideMark/>
          </w:tcPr>
          <w:p w14:paraId="5F36E285" w14:textId="77777777" w:rsidR="00F7188C" w:rsidRPr="00F553AD" w:rsidRDefault="00F7188C" w:rsidP="00F7188C">
            <w:pPr>
              <w:keepNext/>
              <w:jc w:val="both"/>
              <w:rPr>
                <w:rFonts w:asciiTheme="minorHAnsi" w:hAnsiTheme="minorHAnsi" w:cstheme="minorHAnsi"/>
                <w:b/>
                <w:color w:val="FFFFFF" w:themeColor="background1"/>
                <w:lang w:val="es-ES"/>
              </w:rPr>
            </w:pPr>
            <w:r w:rsidRPr="00F553AD">
              <w:rPr>
                <w:rFonts w:asciiTheme="minorHAnsi" w:hAnsiTheme="minorHAnsi" w:cstheme="minorHAnsi"/>
                <w:b/>
                <w:color w:val="FFFFFF" w:themeColor="background1"/>
                <w:lang w:val="es-ES"/>
              </w:rPr>
              <w:t>Producto de crédito</w:t>
            </w:r>
          </w:p>
        </w:tc>
        <w:tc>
          <w:tcPr>
            <w:tcW w:w="1339" w:type="dxa"/>
            <w:shd w:val="clear" w:color="auto" w:fill="808080" w:themeFill="background1" w:themeFillShade="80"/>
            <w:vAlign w:val="center"/>
            <w:hideMark/>
          </w:tcPr>
          <w:p w14:paraId="579CFA35" w14:textId="77777777" w:rsidR="00F7188C" w:rsidRPr="00F553AD" w:rsidRDefault="00F7188C" w:rsidP="00F7188C">
            <w:pPr>
              <w:keepNext/>
              <w:jc w:val="both"/>
              <w:rPr>
                <w:rFonts w:asciiTheme="minorHAnsi" w:hAnsiTheme="minorHAnsi" w:cstheme="minorHAnsi"/>
                <w:b/>
                <w:color w:val="FFFFFF" w:themeColor="background1"/>
                <w:lang w:val="es-ES"/>
              </w:rPr>
            </w:pPr>
            <w:r w:rsidRPr="00F553AD">
              <w:rPr>
                <w:rFonts w:asciiTheme="minorHAnsi" w:hAnsiTheme="minorHAnsi" w:cstheme="minorHAnsi"/>
                <w:b/>
                <w:color w:val="FFFFFF" w:themeColor="background1"/>
                <w:lang w:val="es-ES"/>
              </w:rPr>
              <w:t>Noviembre</w:t>
            </w:r>
          </w:p>
          <w:p w14:paraId="3C37A0B1" w14:textId="77777777" w:rsidR="00F7188C" w:rsidRPr="00F553AD" w:rsidRDefault="00F7188C" w:rsidP="00F7188C">
            <w:pPr>
              <w:keepNext/>
              <w:jc w:val="both"/>
              <w:rPr>
                <w:rFonts w:asciiTheme="minorHAnsi" w:hAnsiTheme="minorHAnsi" w:cstheme="minorHAnsi"/>
                <w:b/>
                <w:color w:val="FFFFFF" w:themeColor="background1"/>
                <w:lang w:val="es-ES"/>
              </w:rPr>
            </w:pPr>
            <w:r w:rsidRPr="00F553AD">
              <w:rPr>
                <w:rFonts w:asciiTheme="minorHAnsi" w:hAnsiTheme="minorHAnsi" w:cstheme="minorHAnsi"/>
                <w:b/>
                <w:color w:val="FFFFFF" w:themeColor="background1"/>
                <w:lang w:val="es-ES"/>
              </w:rPr>
              <w:t>2020</w:t>
            </w:r>
          </w:p>
        </w:tc>
        <w:tc>
          <w:tcPr>
            <w:tcW w:w="1339" w:type="dxa"/>
            <w:shd w:val="clear" w:color="auto" w:fill="808080" w:themeFill="background1" w:themeFillShade="80"/>
            <w:vAlign w:val="center"/>
            <w:hideMark/>
          </w:tcPr>
          <w:p w14:paraId="3D1C6D2F" w14:textId="77777777" w:rsidR="00F7188C" w:rsidRPr="00F553AD" w:rsidRDefault="00F7188C" w:rsidP="00F7188C">
            <w:pPr>
              <w:keepNext/>
              <w:jc w:val="both"/>
              <w:rPr>
                <w:rFonts w:asciiTheme="minorHAnsi" w:hAnsiTheme="minorHAnsi" w:cstheme="minorHAnsi"/>
                <w:b/>
                <w:color w:val="FFFFFF" w:themeColor="background1"/>
                <w:lang w:val="es-ES"/>
              </w:rPr>
            </w:pPr>
            <w:r w:rsidRPr="00F553AD">
              <w:rPr>
                <w:rFonts w:asciiTheme="minorHAnsi" w:hAnsiTheme="minorHAnsi" w:cstheme="minorHAnsi"/>
                <w:b/>
                <w:color w:val="FFFFFF" w:themeColor="background1"/>
                <w:lang w:val="es-ES"/>
              </w:rPr>
              <w:t>Diciembre</w:t>
            </w:r>
          </w:p>
          <w:p w14:paraId="06957779" w14:textId="77777777" w:rsidR="00F7188C" w:rsidRPr="00F553AD" w:rsidRDefault="00F7188C" w:rsidP="00F7188C">
            <w:pPr>
              <w:keepNext/>
              <w:jc w:val="both"/>
              <w:rPr>
                <w:rFonts w:asciiTheme="minorHAnsi" w:hAnsiTheme="minorHAnsi" w:cstheme="minorHAnsi"/>
                <w:b/>
                <w:color w:val="FFFFFF" w:themeColor="background1"/>
                <w:lang w:val="es-ES"/>
              </w:rPr>
            </w:pPr>
            <w:r w:rsidRPr="00F553AD">
              <w:rPr>
                <w:rFonts w:asciiTheme="minorHAnsi" w:hAnsiTheme="minorHAnsi" w:cstheme="minorHAnsi"/>
                <w:b/>
                <w:color w:val="FFFFFF" w:themeColor="background1"/>
                <w:lang w:val="es-ES"/>
              </w:rPr>
              <w:t>2020</w:t>
            </w:r>
          </w:p>
        </w:tc>
        <w:tc>
          <w:tcPr>
            <w:tcW w:w="1339" w:type="dxa"/>
            <w:shd w:val="clear" w:color="auto" w:fill="808080" w:themeFill="background1" w:themeFillShade="80"/>
            <w:vAlign w:val="center"/>
            <w:hideMark/>
          </w:tcPr>
          <w:p w14:paraId="2F1516CE" w14:textId="77777777" w:rsidR="00F7188C" w:rsidRPr="00F553AD" w:rsidRDefault="00F7188C" w:rsidP="00F7188C">
            <w:pPr>
              <w:keepNext/>
              <w:jc w:val="both"/>
              <w:rPr>
                <w:rFonts w:asciiTheme="minorHAnsi" w:hAnsiTheme="minorHAnsi" w:cstheme="minorHAnsi"/>
                <w:b/>
                <w:color w:val="FFFFFF" w:themeColor="background1"/>
                <w:lang w:val="es-ES"/>
              </w:rPr>
            </w:pPr>
            <w:r w:rsidRPr="00F553AD">
              <w:rPr>
                <w:rFonts w:asciiTheme="minorHAnsi" w:hAnsiTheme="minorHAnsi" w:cstheme="minorHAnsi"/>
                <w:b/>
                <w:color w:val="FFFFFF" w:themeColor="background1"/>
                <w:lang w:val="es-ES"/>
              </w:rPr>
              <w:t>Enero 2021</w:t>
            </w:r>
          </w:p>
        </w:tc>
      </w:tr>
      <w:tr w:rsidR="00F7188C" w:rsidRPr="00F553AD" w14:paraId="3DCAA04A" w14:textId="77777777" w:rsidTr="00F7188C">
        <w:trPr>
          <w:trHeight w:hRule="exact" w:val="284"/>
        </w:trPr>
        <w:tc>
          <w:tcPr>
            <w:tcW w:w="3107" w:type="dxa"/>
            <w:vAlign w:val="center"/>
            <w:hideMark/>
          </w:tcPr>
          <w:p w14:paraId="65B28FBB" w14:textId="77777777" w:rsidR="00F7188C" w:rsidRPr="00F553AD" w:rsidRDefault="00F7188C" w:rsidP="00F7188C">
            <w:pPr>
              <w:keepNext/>
              <w:jc w:val="both"/>
              <w:rPr>
                <w:rFonts w:asciiTheme="minorHAnsi" w:hAnsiTheme="minorHAnsi" w:cstheme="minorHAnsi"/>
                <w:b/>
                <w:color w:val="000000"/>
                <w:lang w:val="es-ES" w:eastAsia="es-CO"/>
              </w:rPr>
            </w:pPr>
            <w:r w:rsidRPr="00F553AD">
              <w:rPr>
                <w:rFonts w:asciiTheme="minorHAnsi" w:hAnsiTheme="minorHAnsi" w:cstheme="minorHAnsi"/>
                <w:b/>
                <w:color w:val="000000"/>
                <w:lang w:val="es-ES"/>
              </w:rPr>
              <w:t>Crédito de vehículo</w:t>
            </w:r>
          </w:p>
        </w:tc>
        <w:tc>
          <w:tcPr>
            <w:tcW w:w="1339" w:type="dxa"/>
            <w:vAlign w:val="center"/>
            <w:hideMark/>
          </w:tcPr>
          <w:p w14:paraId="0E40E702" w14:textId="0BD19861" w:rsidR="00F7188C" w:rsidRPr="00F553AD" w:rsidRDefault="00F7188C" w:rsidP="00F7188C">
            <w:pPr>
              <w:keepNext/>
              <w:spacing w:before="100" w:beforeAutospacing="1" w:after="100" w:afterAutospacing="1"/>
              <w:jc w:val="both"/>
              <w:rPr>
                <w:rFonts w:asciiTheme="minorHAnsi" w:hAnsiTheme="minorHAnsi" w:cstheme="minorHAnsi"/>
                <w:b/>
                <w:lang w:val="es-ES" w:eastAsia="es-CO"/>
              </w:rPr>
            </w:pPr>
            <w:r w:rsidRPr="00F553AD">
              <w:rPr>
                <w:rFonts w:asciiTheme="minorHAnsi" w:hAnsiTheme="minorHAnsi" w:cstheme="minorHAnsi"/>
                <w:b/>
                <w:color w:val="000000"/>
                <w:lang w:val="es-ES"/>
              </w:rPr>
              <w:t>10</w:t>
            </w:r>
            <w:r w:rsidR="005C05BC"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1%</w:t>
            </w:r>
          </w:p>
        </w:tc>
        <w:tc>
          <w:tcPr>
            <w:tcW w:w="1339" w:type="dxa"/>
            <w:vAlign w:val="center"/>
            <w:hideMark/>
          </w:tcPr>
          <w:p w14:paraId="6AEAE4AE" w14:textId="02CF68CE" w:rsidR="00F7188C" w:rsidRPr="00F553AD" w:rsidRDefault="00F7188C" w:rsidP="00F7188C">
            <w:pPr>
              <w:keepNext/>
              <w:spacing w:before="100" w:beforeAutospacing="1" w:after="100" w:afterAutospacing="1"/>
              <w:jc w:val="both"/>
              <w:rPr>
                <w:rFonts w:asciiTheme="minorHAnsi" w:hAnsiTheme="minorHAnsi" w:cstheme="minorHAnsi"/>
                <w:b/>
                <w:lang w:val="es-ES" w:eastAsia="es-CO"/>
              </w:rPr>
            </w:pPr>
            <w:r w:rsidRPr="00F553AD">
              <w:rPr>
                <w:rFonts w:asciiTheme="minorHAnsi" w:hAnsiTheme="minorHAnsi" w:cstheme="minorHAnsi"/>
                <w:b/>
                <w:color w:val="000000"/>
                <w:lang w:val="es-ES"/>
              </w:rPr>
              <w:t>-2</w:t>
            </w:r>
            <w:r w:rsidR="00B43998"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0%</w:t>
            </w:r>
          </w:p>
        </w:tc>
        <w:tc>
          <w:tcPr>
            <w:tcW w:w="1339" w:type="dxa"/>
            <w:vAlign w:val="center"/>
            <w:hideMark/>
          </w:tcPr>
          <w:p w14:paraId="5053E6D0" w14:textId="69F456B6" w:rsidR="00F7188C" w:rsidRPr="00F553AD" w:rsidRDefault="00F7188C" w:rsidP="00F7188C">
            <w:pPr>
              <w:keepNext/>
              <w:spacing w:before="100" w:beforeAutospacing="1" w:after="100" w:afterAutospacing="1"/>
              <w:jc w:val="both"/>
              <w:rPr>
                <w:rFonts w:asciiTheme="minorHAnsi" w:hAnsiTheme="minorHAnsi" w:cstheme="minorHAnsi"/>
                <w:b/>
                <w:lang w:val="es-ES" w:eastAsia="es-CO"/>
              </w:rPr>
            </w:pPr>
            <w:r w:rsidRPr="00F553AD">
              <w:rPr>
                <w:rFonts w:asciiTheme="minorHAnsi" w:hAnsiTheme="minorHAnsi" w:cstheme="minorHAnsi"/>
                <w:b/>
                <w:color w:val="000000"/>
                <w:lang w:val="es-ES"/>
              </w:rPr>
              <w:t>-13</w:t>
            </w:r>
            <w:r w:rsidR="00B43998"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7%</w:t>
            </w:r>
          </w:p>
        </w:tc>
      </w:tr>
      <w:tr w:rsidR="00F7188C" w:rsidRPr="00F553AD" w14:paraId="51DD0344" w14:textId="77777777" w:rsidTr="00F7188C">
        <w:trPr>
          <w:trHeight w:hRule="exact" w:val="284"/>
        </w:trPr>
        <w:tc>
          <w:tcPr>
            <w:tcW w:w="3107" w:type="dxa"/>
            <w:vAlign w:val="center"/>
            <w:hideMark/>
          </w:tcPr>
          <w:p w14:paraId="217411D9" w14:textId="77777777" w:rsidR="00F7188C" w:rsidRPr="00F553AD" w:rsidRDefault="00F7188C" w:rsidP="00F7188C">
            <w:pPr>
              <w:keepNext/>
              <w:jc w:val="both"/>
              <w:rPr>
                <w:rFonts w:asciiTheme="minorHAnsi" w:hAnsiTheme="minorHAnsi" w:cstheme="minorHAnsi"/>
                <w:b/>
                <w:color w:val="000000"/>
                <w:lang w:val="es-ES" w:eastAsia="es-CO"/>
              </w:rPr>
            </w:pPr>
            <w:r w:rsidRPr="00F553AD">
              <w:rPr>
                <w:rFonts w:asciiTheme="minorHAnsi" w:hAnsiTheme="minorHAnsi" w:cstheme="minorHAnsi"/>
                <w:b/>
                <w:color w:val="000000"/>
                <w:lang w:val="es-ES"/>
              </w:rPr>
              <w:t>Tarjetas de crédito</w:t>
            </w:r>
          </w:p>
        </w:tc>
        <w:tc>
          <w:tcPr>
            <w:tcW w:w="1339" w:type="dxa"/>
            <w:vAlign w:val="center"/>
            <w:hideMark/>
          </w:tcPr>
          <w:p w14:paraId="7CDD78F0" w14:textId="5DAF86F1" w:rsidR="00F7188C" w:rsidRPr="00F553AD" w:rsidRDefault="00F7188C" w:rsidP="00F7188C">
            <w:pPr>
              <w:keepNext/>
              <w:spacing w:before="100" w:beforeAutospacing="1" w:after="100" w:afterAutospacing="1"/>
              <w:jc w:val="both"/>
              <w:rPr>
                <w:rFonts w:asciiTheme="minorHAnsi" w:hAnsiTheme="minorHAnsi" w:cstheme="minorHAnsi"/>
                <w:b/>
                <w:lang w:val="es-ES" w:eastAsia="es-CO"/>
              </w:rPr>
            </w:pPr>
            <w:r w:rsidRPr="00F553AD">
              <w:rPr>
                <w:rFonts w:asciiTheme="minorHAnsi" w:hAnsiTheme="minorHAnsi" w:cstheme="minorHAnsi"/>
                <w:b/>
                <w:color w:val="000000"/>
                <w:lang w:val="es-ES"/>
              </w:rPr>
              <w:t>-45</w:t>
            </w:r>
            <w:r w:rsidR="005C05BC"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0%</w:t>
            </w:r>
          </w:p>
        </w:tc>
        <w:tc>
          <w:tcPr>
            <w:tcW w:w="1339" w:type="dxa"/>
            <w:vAlign w:val="center"/>
            <w:hideMark/>
          </w:tcPr>
          <w:p w14:paraId="5775777D" w14:textId="31D8C1F0" w:rsidR="00F7188C" w:rsidRPr="00F553AD" w:rsidRDefault="00F7188C" w:rsidP="00F7188C">
            <w:pPr>
              <w:keepNext/>
              <w:spacing w:before="100" w:beforeAutospacing="1" w:after="100" w:afterAutospacing="1"/>
              <w:jc w:val="both"/>
              <w:rPr>
                <w:rFonts w:asciiTheme="minorHAnsi" w:hAnsiTheme="minorHAnsi" w:cstheme="minorHAnsi"/>
                <w:b/>
                <w:lang w:val="es-ES" w:eastAsia="es-CO"/>
              </w:rPr>
            </w:pPr>
            <w:r w:rsidRPr="00F553AD">
              <w:rPr>
                <w:rFonts w:asciiTheme="minorHAnsi" w:hAnsiTheme="minorHAnsi" w:cstheme="minorHAnsi"/>
                <w:b/>
                <w:color w:val="000000"/>
                <w:lang w:val="es-ES"/>
              </w:rPr>
              <w:t>-46</w:t>
            </w:r>
            <w:r w:rsidR="00B43998"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2%</w:t>
            </w:r>
          </w:p>
        </w:tc>
        <w:tc>
          <w:tcPr>
            <w:tcW w:w="1339" w:type="dxa"/>
            <w:vAlign w:val="center"/>
            <w:hideMark/>
          </w:tcPr>
          <w:p w14:paraId="5075CA41" w14:textId="6394EDBA" w:rsidR="00F7188C" w:rsidRPr="00F553AD" w:rsidRDefault="00F7188C" w:rsidP="00F7188C">
            <w:pPr>
              <w:keepNext/>
              <w:spacing w:before="100" w:beforeAutospacing="1" w:after="100" w:afterAutospacing="1"/>
              <w:jc w:val="both"/>
              <w:rPr>
                <w:rFonts w:asciiTheme="minorHAnsi" w:hAnsiTheme="minorHAnsi" w:cstheme="minorHAnsi"/>
                <w:b/>
                <w:lang w:val="es-ES" w:eastAsia="es-CO"/>
              </w:rPr>
            </w:pPr>
            <w:r w:rsidRPr="00F553AD">
              <w:rPr>
                <w:rFonts w:asciiTheme="minorHAnsi" w:hAnsiTheme="minorHAnsi" w:cstheme="minorHAnsi"/>
                <w:b/>
                <w:color w:val="000000"/>
                <w:lang w:val="es-ES"/>
              </w:rPr>
              <w:t>-53</w:t>
            </w:r>
            <w:r w:rsidR="00B43998"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3%</w:t>
            </w:r>
          </w:p>
        </w:tc>
      </w:tr>
      <w:tr w:rsidR="00F7188C" w:rsidRPr="00F553AD" w14:paraId="7B4C5223" w14:textId="77777777" w:rsidTr="00F7188C">
        <w:trPr>
          <w:trHeight w:hRule="exact" w:val="284"/>
        </w:trPr>
        <w:tc>
          <w:tcPr>
            <w:tcW w:w="3107" w:type="dxa"/>
            <w:vAlign w:val="center"/>
          </w:tcPr>
          <w:p w14:paraId="26D337DF" w14:textId="77777777" w:rsidR="00F7188C" w:rsidRPr="00F553AD" w:rsidRDefault="00F7188C" w:rsidP="00F7188C">
            <w:pPr>
              <w:keepNext/>
              <w:jc w:val="both"/>
              <w:rPr>
                <w:rFonts w:asciiTheme="minorHAnsi" w:hAnsiTheme="minorHAnsi" w:cstheme="minorHAnsi"/>
                <w:b/>
                <w:lang w:val="es-ES"/>
              </w:rPr>
            </w:pPr>
            <w:r w:rsidRPr="00F553AD">
              <w:rPr>
                <w:rFonts w:asciiTheme="minorHAnsi" w:hAnsiTheme="minorHAnsi" w:cstheme="minorHAnsi"/>
                <w:b/>
                <w:color w:val="000000"/>
                <w:lang w:val="es-ES"/>
              </w:rPr>
              <w:t>Microcrédito</w:t>
            </w:r>
          </w:p>
        </w:tc>
        <w:tc>
          <w:tcPr>
            <w:tcW w:w="1339" w:type="dxa"/>
            <w:vAlign w:val="center"/>
          </w:tcPr>
          <w:p w14:paraId="10133CA2" w14:textId="6370D4BB" w:rsidR="00F7188C" w:rsidRPr="00F553AD" w:rsidRDefault="00F7188C" w:rsidP="00F7188C">
            <w:pPr>
              <w:keepNext/>
              <w:spacing w:before="100" w:beforeAutospacing="1" w:after="100" w:afterAutospacing="1"/>
              <w:jc w:val="both"/>
              <w:rPr>
                <w:rFonts w:asciiTheme="minorHAnsi" w:hAnsiTheme="minorHAnsi" w:cstheme="minorHAnsi"/>
                <w:b/>
                <w:lang w:val="es-ES"/>
              </w:rPr>
            </w:pPr>
            <w:r w:rsidRPr="00F553AD">
              <w:rPr>
                <w:rFonts w:asciiTheme="minorHAnsi" w:hAnsiTheme="minorHAnsi" w:cstheme="minorHAnsi"/>
                <w:b/>
                <w:color w:val="000000"/>
                <w:lang w:val="es-ES"/>
              </w:rPr>
              <w:t>-9</w:t>
            </w:r>
            <w:r w:rsidR="00B43998"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3%</w:t>
            </w:r>
          </w:p>
        </w:tc>
        <w:tc>
          <w:tcPr>
            <w:tcW w:w="1339" w:type="dxa"/>
            <w:vAlign w:val="center"/>
          </w:tcPr>
          <w:p w14:paraId="4D09C56D" w14:textId="7A9DF3CE" w:rsidR="00F7188C" w:rsidRPr="00F553AD" w:rsidRDefault="00F7188C" w:rsidP="00F7188C">
            <w:pPr>
              <w:keepNext/>
              <w:spacing w:before="100" w:beforeAutospacing="1" w:after="100" w:afterAutospacing="1"/>
              <w:jc w:val="both"/>
              <w:rPr>
                <w:rFonts w:asciiTheme="minorHAnsi" w:hAnsiTheme="minorHAnsi" w:cstheme="minorHAnsi"/>
                <w:b/>
                <w:lang w:val="es-ES"/>
              </w:rPr>
            </w:pPr>
            <w:r w:rsidRPr="00F553AD">
              <w:rPr>
                <w:rFonts w:asciiTheme="minorHAnsi" w:hAnsiTheme="minorHAnsi" w:cstheme="minorHAnsi"/>
                <w:b/>
                <w:color w:val="000000"/>
                <w:lang w:val="es-ES"/>
              </w:rPr>
              <w:t>-4</w:t>
            </w:r>
            <w:r w:rsidR="00B43998"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5%</w:t>
            </w:r>
          </w:p>
        </w:tc>
        <w:tc>
          <w:tcPr>
            <w:tcW w:w="1339" w:type="dxa"/>
            <w:vAlign w:val="center"/>
          </w:tcPr>
          <w:p w14:paraId="0AE7D7BE" w14:textId="189F18EE" w:rsidR="00F7188C" w:rsidRPr="00F553AD" w:rsidRDefault="00F7188C" w:rsidP="00F7188C">
            <w:pPr>
              <w:keepNext/>
              <w:spacing w:before="100" w:beforeAutospacing="1" w:after="100" w:afterAutospacing="1"/>
              <w:jc w:val="both"/>
              <w:rPr>
                <w:rFonts w:asciiTheme="minorHAnsi" w:hAnsiTheme="minorHAnsi" w:cstheme="minorHAnsi"/>
                <w:b/>
                <w:lang w:val="es-ES"/>
              </w:rPr>
            </w:pPr>
            <w:r w:rsidRPr="00F553AD">
              <w:rPr>
                <w:rFonts w:asciiTheme="minorHAnsi" w:hAnsiTheme="minorHAnsi" w:cstheme="minorHAnsi"/>
                <w:b/>
                <w:color w:val="000000"/>
                <w:lang w:val="es-ES"/>
              </w:rPr>
              <w:t>-25</w:t>
            </w:r>
            <w:r w:rsidR="00B43998"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8%</w:t>
            </w:r>
          </w:p>
        </w:tc>
      </w:tr>
      <w:tr w:rsidR="00F7188C" w:rsidRPr="00F553AD" w14:paraId="493B02F6" w14:textId="77777777" w:rsidTr="00F7188C">
        <w:trPr>
          <w:trHeight w:hRule="exact" w:val="284"/>
        </w:trPr>
        <w:tc>
          <w:tcPr>
            <w:tcW w:w="3107" w:type="dxa"/>
            <w:vAlign w:val="center"/>
          </w:tcPr>
          <w:p w14:paraId="39F7F8CF" w14:textId="77777777" w:rsidR="00F7188C" w:rsidRPr="00F553AD" w:rsidRDefault="00F7188C" w:rsidP="00F7188C">
            <w:pPr>
              <w:keepNext/>
              <w:jc w:val="both"/>
              <w:rPr>
                <w:rFonts w:asciiTheme="minorHAnsi" w:hAnsiTheme="minorHAnsi" w:cstheme="minorHAnsi"/>
                <w:b/>
                <w:lang w:val="es-ES"/>
              </w:rPr>
            </w:pPr>
            <w:r w:rsidRPr="00F553AD">
              <w:rPr>
                <w:rFonts w:asciiTheme="minorHAnsi" w:hAnsiTheme="minorHAnsi" w:cstheme="minorHAnsi"/>
                <w:b/>
                <w:color w:val="000000"/>
                <w:lang w:val="es-ES"/>
              </w:rPr>
              <w:t>Crédito de vivienda</w:t>
            </w:r>
          </w:p>
        </w:tc>
        <w:tc>
          <w:tcPr>
            <w:tcW w:w="1339" w:type="dxa"/>
            <w:vAlign w:val="center"/>
          </w:tcPr>
          <w:p w14:paraId="7910ECD8" w14:textId="2A8C15F0" w:rsidR="00F7188C" w:rsidRPr="00F553AD" w:rsidRDefault="00F7188C" w:rsidP="00F7188C">
            <w:pPr>
              <w:keepNext/>
              <w:spacing w:before="100" w:beforeAutospacing="1" w:after="100" w:afterAutospacing="1"/>
              <w:jc w:val="both"/>
              <w:rPr>
                <w:rFonts w:asciiTheme="minorHAnsi" w:hAnsiTheme="minorHAnsi" w:cstheme="minorHAnsi"/>
                <w:b/>
                <w:lang w:val="es-ES"/>
              </w:rPr>
            </w:pPr>
            <w:r w:rsidRPr="00F553AD">
              <w:rPr>
                <w:rFonts w:asciiTheme="minorHAnsi" w:hAnsiTheme="minorHAnsi" w:cstheme="minorHAnsi"/>
                <w:b/>
                <w:color w:val="000000"/>
                <w:lang w:val="es-ES"/>
              </w:rPr>
              <w:t>10</w:t>
            </w:r>
            <w:r w:rsidR="00B43998"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5%</w:t>
            </w:r>
          </w:p>
        </w:tc>
        <w:tc>
          <w:tcPr>
            <w:tcW w:w="1339" w:type="dxa"/>
            <w:vAlign w:val="center"/>
          </w:tcPr>
          <w:p w14:paraId="195B1DE5" w14:textId="5B3269DC" w:rsidR="00F7188C" w:rsidRPr="00F553AD" w:rsidRDefault="00F7188C" w:rsidP="00F7188C">
            <w:pPr>
              <w:keepNext/>
              <w:spacing w:before="100" w:beforeAutospacing="1" w:after="100" w:afterAutospacing="1"/>
              <w:jc w:val="both"/>
              <w:rPr>
                <w:rFonts w:asciiTheme="minorHAnsi" w:hAnsiTheme="minorHAnsi" w:cstheme="minorHAnsi"/>
                <w:b/>
                <w:lang w:val="es-ES"/>
              </w:rPr>
            </w:pPr>
            <w:r w:rsidRPr="00F553AD">
              <w:rPr>
                <w:rFonts w:asciiTheme="minorHAnsi" w:hAnsiTheme="minorHAnsi" w:cstheme="minorHAnsi"/>
                <w:b/>
                <w:color w:val="000000"/>
                <w:lang w:val="es-ES"/>
              </w:rPr>
              <w:t>0</w:t>
            </w:r>
            <w:r w:rsidR="00B43998"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7%</w:t>
            </w:r>
          </w:p>
        </w:tc>
        <w:tc>
          <w:tcPr>
            <w:tcW w:w="1339" w:type="dxa"/>
            <w:vAlign w:val="center"/>
          </w:tcPr>
          <w:p w14:paraId="5796A4BE" w14:textId="3813F650" w:rsidR="00F7188C" w:rsidRPr="00F553AD" w:rsidRDefault="00F7188C" w:rsidP="00F7188C">
            <w:pPr>
              <w:keepNext/>
              <w:spacing w:before="100" w:beforeAutospacing="1" w:after="100" w:afterAutospacing="1"/>
              <w:jc w:val="both"/>
              <w:rPr>
                <w:rFonts w:asciiTheme="minorHAnsi" w:hAnsiTheme="minorHAnsi" w:cstheme="minorHAnsi"/>
                <w:b/>
                <w:lang w:val="es-ES"/>
              </w:rPr>
            </w:pPr>
            <w:r w:rsidRPr="00F553AD">
              <w:rPr>
                <w:rFonts w:asciiTheme="minorHAnsi" w:hAnsiTheme="minorHAnsi" w:cstheme="minorHAnsi"/>
                <w:b/>
                <w:color w:val="000000"/>
                <w:lang w:val="es-ES"/>
              </w:rPr>
              <w:t>-5</w:t>
            </w:r>
            <w:r w:rsidR="00B43998"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9%</w:t>
            </w:r>
          </w:p>
        </w:tc>
      </w:tr>
      <w:tr w:rsidR="00F7188C" w:rsidRPr="00F553AD" w14:paraId="7F6FFD84" w14:textId="77777777" w:rsidTr="00F7188C">
        <w:trPr>
          <w:trHeight w:hRule="exact" w:val="284"/>
        </w:trPr>
        <w:tc>
          <w:tcPr>
            <w:tcW w:w="3107" w:type="dxa"/>
            <w:vAlign w:val="center"/>
            <w:hideMark/>
          </w:tcPr>
          <w:p w14:paraId="77ED6D75" w14:textId="77777777" w:rsidR="00F7188C" w:rsidRPr="00F553AD" w:rsidRDefault="00F7188C" w:rsidP="00F7188C">
            <w:pPr>
              <w:keepNext/>
              <w:jc w:val="both"/>
              <w:rPr>
                <w:rFonts w:asciiTheme="minorHAnsi" w:hAnsiTheme="minorHAnsi" w:cstheme="minorHAnsi"/>
                <w:b/>
                <w:color w:val="000000"/>
                <w:lang w:val="es-ES" w:eastAsia="es-CO"/>
              </w:rPr>
            </w:pPr>
            <w:r w:rsidRPr="00F553AD">
              <w:rPr>
                <w:rFonts w:asciiTheme="minorHAnsi" w:hAnsiTheme="minorHAnsi" w:cstheme="minorHAnsi"/>
                <w:b/>
                <w:color w:val="000000"/>
                <w:lang w:val="es-ES"/>
              </w:rPr>
              <w:t>Crédito personal</w:t>
            </w:r>
          </w:p>
        </w:tc>
        <w:tc>
          <w:tcPr>
            <w:tcW w:w="1339" w:type="dxa"/>
            <w:vAlign w:val="center"/>
            <w:hideMark/>
          </w:tcPr>
          <w:p w14:paraId="6A8D1664" w14:textId="70DD2949" w:rsidR="00F7188C" w:rsidRPr="00F553AD" w:rsidRDefault="00F7188C" w:rsidP="00F7188C">
            <w:pPr>
              <w:keepNext/>
              <w:spacing w:before="100" w:beforeAutospacing="1" w:after="100" w:afterAutospacing="1"/>
              <w:jc w:val="both"/>
              <w:rPr>
                <w:rFonts w:asciiTheme="minorHAnsi" w:hAnsiTheme="minorHAnsi" w:cstheme="minorHAnsi"/>
                <w:b/>
                <w:lang w:val="es-ES" w:eastAsia="es-CO"/>
              </w:rPr>
            </w:pPr>
            <w:r w:rsidRPr="00F553AD">
              <w:rPr>
                <w:rFonts w:asciiTheme="minorHAnsi" w:hAnsiTheme="minorHAnsi" w:cstheme="minorHAnsi"/>
                <w:b/>
                <w:color w:val="000000"/>
                <w:lang w:val="es-ES"/>
              </w:rPr>
              <w:t>-19</w:t>
            </w:r>
            <w:r w:rsidR="00B43998"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8%</w:t>
            </w:r>
          </w:p>
        </w:tc>
        <w:tc>
          <w:tcPr>
            <w:tcW w:w="1339" w:type="dxa"/>
            <w:vAlign w:val="center"/>
            <w:hideMark/>
          </w:tcPr>
          <w:p w14:paraId="41A0E1F4" w14:textId="6F85C7A2" w:rsidR="00F7188C" w:rsidRPr="00F553AD" w:rsidRDefault="00F7188C" w:rsidP="00F7188C">
            <w:pPr>
              <w:keepNext/>
              <w:spacing w:before="100" w:beforeAutospacing="1" w:after="100" w:afterAutospacing="1"/>
              <w:jc w:val="both"/>
              <w:rPr>
                <w:rFonts w:asciiTheme="minorHAnsi" w:hAnsiTheme="minorHAnsi" w:cstheme="minorHAnsi"/>
                <w:b/>
                <w:lang w:val="es-ES" w:eastAsia="es-CO"/>
              </w:rPr>
            </w:pPr>
            <w:r w:rsidRPr="00F553AD">
              <w:rPr>
                <w:rFonts w:asciiTheme="minorHAnsi" w:hAnsiTheme="minorHAnsi" w:cstheme="minorHAnsi"/>
                <w:b/>
                <w:color w:val="000000"/>
                <w:lang w:val="es-ES"/>
              </w:rPr>
              <w:t>-17</w:t>
            </w:r>
            <w:r w:rsidR="00B43998"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4%</w:t>
            </w:r>
          </w:p>
        </w:tc>
        <w:tc>
          <w:tcPr>
            <w:tcW w:w="1339" w:type="dxa"/>
            <w:vAlign w:val="center"/>
            <w:hideMark/>
          </w:tcPr>
          <w:p w14:paraId="54092F7F" w14:textId="7A488444" w:rsidR="00F7188C" w:rsidRPr="00F553AD" w:rsidRDefault="00F7188C" w:rsidP="00F7188C">
            <w:pPr>
              <w:keepNext/>
              <w:spacing w:before="100" w:beforeAutospacing="1" w:after="100" w:afterAutospacing="1"/>
              <w:jc w:val="both"/>
              <w:rPr>
                <w:rFonts w:asciiTheme="minorHAnsi" w:hAnsiTheme="minorHAnsi" w:cstheme="minorHAnsi"/>
                <w:b/>
                <w:lang w:val="es-ES" w:eastAsia="es-CO"/>
              </w:rPr>
            </w:pPr>
            <w:r w:rsidRPr="00F553AD">
              <w:rPr>
                <w:rFonts w:asciiTheme="minorHAnsi" w:hAnsiTheme="minorHAnsi" w:cstheme="minorHAnsi"/>
                <w:b/>
                <w:color w:val="000000"/>
                <w:lang w:val="es-ES"/>
              </w:rPr>
              <w:t>-34</w:t>
            </w:r>
            <w:r w:rsidR="00B43998" w:rsidRPr="00F553AD">
              <w:rPr>
                <w:rFonts w:asciiTheme="minorHAnsi" w:hAnsiTheme="minorHAnsi" w:cstheme="minorHAnsi"/>
                <w:b/>
                <w:color w:val="000000"/>
                <w:lang w:val="es-ES"/>
              </w:rPr>
              <w:t>,</w:t>
            </w:r>
            <w:r w:rsidRPr="00F553AD">
              <w:rPr>
                <w:rFonts w:asciiTheme="minorHAnsi" w:hAnsiTheme="minorHAnsi" w:cstheme="minorHAnsi"/>
                <w:b/>
                <w:color w:val="000000"/>
                <w:lang w:val="es-ES"/>
              </w:rPr>
              <w:t>2%</w:t>
            </w:r>
          </w:p>
        </w:tc>
      </w:tr>
    </w:tbl>
    <w:p w14:paraId="578A5443" w14:textId="70CF640E" w:rsidR="00F7188C" w:rsidRPr="00F553AD" w:rsidRDefault="00F7188C" w:rsidP="007C2B1A">
      <w:pPr>
        <w:spacing w:after="0" w:line="240" w:lineRule="auto"/>
        <w:contextualSpacing/>
        <w:jc w:val="both"/>
        <w:rPr>
          <w:rFonts w:eastAsia="Times New Roman" w:cstheme="minorHAnsi"/>
          <w:b/>
          <w:sz w:val="20"/>
          <w:szCs w:val="20"/>
          <w:lang w:val="es-ES"/>
        </w:rPr>
      </w:pPr>
    </w:p>
    <w:p w14:paraId="5F3E657E" w14:textId="77C88F14" w:rsidR="00F7188C" w:rsidRPr="00F553AD" w:rsidRDefault="00F7188C" w:rsidP="007C2B1A">
      <w:pPr>
        <w:spacing w:after="0" w:line="240" w:lineRule="auto"/>
        <w:contextualSpacing/>
        <w:jc w:val="both"/>
        <w:rPr>
          <w:rFonts w:eastAsia="Times New Roman" w:cstheme="minorHAnsi"/>
          <w:b/>
          <w:sz w:val="20"/>
          <w:szCs w:val="20"/>
          <w:lang w:val="es-ES"/>
        </w:rPr>
      </w:pPr>
    </w:p>
    <w:p w14:paraId="6425D937" w14:textId="1B0B0300" w:rsidR="00F7188C" w:rsidRPr="00F553AD" w:rsidRDefault="00F7188C" w:rsidP="007C2B1A">
      <w:pPr>
        <w:spacing w:after="0" w:line="240" w:lineRule="auto"/>
        <w:contextualSpacing/>
        <w:jc w:val="both"/>
        <w:rPr>
          <w:rFonts w:eastAsia="Times New Roman" w:cstheme="minorHAnsi"/>
          <w:b/>
          <w:sz w:val="20"/>
          <w:szCs w:val="20"/>
          <w:lang w:val="es-ES"/>
        </w:rPr>
      </w:pPr>
    </w:p>
    <w:p w14:paraId="107EDFAF" w14:textId="6E57F764" w:rsidR="00F7188C" w:rsidRPr="00F553AD" w:rsidRDefault="00F7188C" w:rsidP="007C2B1A">
      <w:pPr>
        <w:spacing w:after="0" w:line="240" w:lineRule="auto"/>
        <w:contextualSpacing/>
        <w:jc w:val="both"/>
        <w:rPr>
          <w:rFonts w:eastAsia="Times New Roman" w:cstheme="minorHAnsi"/>
          <w:b/>
          <w:sz w:val="20"/>
          <w:szCs w:val="20"/>
          <w:lang w:val="es-ES"/>
        </w:rPr>
      </w:pPr>
    </w:p>
    <w:p w14:paraId="3FBAA7B9" w14:textId="76C1295D" w:rsidR="00F7188C" w:rsidRPr="00F553AD" w:rsidRDefault="00F7188C" w:rsidP="007C2B1A">
      <w:pPr>
        <w:spacing w:after="0" w:line="240" w:lineRule="auto"/>
        <w:contextualSpacing/>
        <w:jc w:val="both"/>
        <w:rPr>
          <w:rFonts w:eastAsia="Times New Roman" w:cstheme="minorHAnsi"/>
          <w:b/>
          <w:sz w:val="20"/>
          <w:szCs w:val="20"/>
          <w:lang w:val="es-ES"/>
        </w:rPr>
      </w:pPr>
    </w:p>
    <w:p w14:paraId="6B5CC7B9" w14:textId="6166F69F" w:rsidR="00F7188C" w:rsidRPr="00F553AD" w:rsidRDefault="00F7188C" w:rsidP="007C2B1A">
      <w:pPr>
        <w:spacing w:after="0" w:line="240" w:lineRule="auto"/>
        <w:contextualSpacing/>
        <w:jc w:val="both"/>
        <w:rPr>
          <w:rFonts w:eastAsia="Times New Roman" w:cstheme="minorHAnsi"/>
          <w:b/>
          <w:sz w:val="20"/>
          <w:szCs w:val="20"/>
          <w:lang w:val="es-ES"/>
        </w:rPr>
      </w:pPr>
    </w:p>
    <w:p w14:paraId="461019B0" w14:textId="77777777" w:rsidR="00F7188C" w:rsidRPr="00F553AD" w:rsidRDefault="00F7188C" w:rsidP="007C2B1A">
      <w:pPr>
        <w:spacing w:after="0" w:line="240" w:lineRule="auto"/>
        <w:contextualSpacing/>
        <w:jc w:val="both"/>
        <w:rPr>
          <w:rFonts w:eastAsia="Times New Roman" w:cstheme="minorHAnsi"/>
          <w:b/>
          <w:sz w:val="20"/>
          <w:szCs w:val="20"/>
          <w:lang w:val="es-ES"/>
        </w:rPr>
      </w:pPr>
    </w:p>
    <w:p w14:paraId="1616F048" w14:textId="77777777" w:rsidR="007C2B1A" w:rsidRPr="00F553AD" w:rsidRDefault="007C2B1A" w:rsidP="007C2B1A">
      <w:pPr>
        <w:spacing w:after="0" w:line="240" w:lineRule="auto"/>
        <w:contextualSpacing/>
        <w:jc w:val="both"/>
        <w:rPr>
          <w:rFonts w:eastAsia="Times New Roman" w:cstheme="minorHAnsi"/>
          <w:b/>
          <w:sz w:val="20"/>
          <w:szCs w:val="20"/>
          <w:lang w:val="es-ES"/>
        </w:rPr>
      </w:pPr>
    </w:p>
    <w:p w14:paraId="4B637D96" w14:textId="42D5D3F6" w:rsidR="003F2DCA" w:rsidRPr="00F553AD" w:rsidRDefault="003F2DCA" w:rsidP="00FC6A91">
      <w:pPr>
        <w:spacing w:after="0" w:line="240" w:lineRule="auto"/>
        <w:jc w:val="both"/>
        <w:rPr>
          <w:rFonts w:eastAsia="Times New Roman" w:cstheme="minorHAnsi"/>
          <w:bCs/>
          <w:sz w:val="20"/>
          <w:szCs w:val="20"/>
          <w:lang w:val="es-ES"/>
        </w:rPr>
      </w:pPr>
    </w:p>
    <w:p w14:paraId="2031507F" w14:textId="4D27B1A8" w:rsidR="003F2DCA" w:rsidRPr="00F553AD" w:rsidRDefault="00916B68" w:rsidP="00FC6A91">
      <w:pPr>
        <w:spacing w:after="0" w:line="240" w:lineRule="auto"/>
        <w:jc w:val="both"/>
        <w:rPr>
          <w:rFonts w:eastAsia="Times New Roman" w:cstheme="minorHAnsi"/>
          <w:bCs/>
          <w:sz w:val="24"/>
          <w:szCs w:val="24"/>
          <w:lang w:val="es-ES"/>
        </w:rPr>
      </w:pPr>
      <w:r w:rsidRPr="00F553AD">
        <w:rPr>
          <w:rFonts w:eastAsia="Times New Roman" w:cstheme="minorHAnsi"/>
          <w:bCs/>
          <w:sz w:val="24"/>
          <w:szCs w:val="24"/>
          <w:lang w:val="es-ES"/>
        </w:rPr>
        <w:t>“</w:t>
      </w:r>
      <w:r w:rsidRPr="00F553AD">
        <w:rPr>
          <w:rFonts w:eastAsia="Times New Roman" w:cstheme="minorHAnsi"/>
          <w:bCs/>
          <w:i/>
          <w:iCs/>
          <w:sz w:val="24"/>
          <w:szCs w:val="24"/>
          <w:lang w:val="es-ES"/>
        </w:rPr>
        <w:t xml:space="preserve">La prudencia a la hora de </w:t>
      </w:r>
      <w:r w:rsidR="00B43998" w:rsidRPr="00F553AD">
        <w:rPr>
          <w:rFonts w:eastAsia="Times New Roman" w:cstheme="minorHAnsi"/>
          <w:bCs/>
          <w:i/>
          <w:iCs/>
          <w:sz w:val="24"/>
          <w:szCs w:val="24"/>
          <w:lang w:val="es-ES"/>
        </w:rPr>
        <w:t xml:space="preserve">otorgar </w:t>
      </w:r>
      <w:r w:rsidRPr="00F553AD">
        <w:rPr>
          <w:rFonts w:eastAsia="Times New Roman" w:cstheme="minorHAnsi"/>
          <w:bCs/>
          <w:i/>
          <w:iCs/>
          <w:sz w:val="24"/>
          <w:szCs w:val="24"/>
          <w:lang w:val="es-ES"/>
        </w:rPr>
        <w:t xml:space="preserve">nuevos créditos, junto con la cautela de los consumidores hacia el endeudamiento que estamos viendo, plantea </w:t>
      </w:r>
      <w:r w:rsidR="00E65F18" w:rsidRPr="00F553AD">
        <w:rPr>
          <w:rFonts w:eastAsia="Times New Roman" w:cstheme="minorHAnsi"/>
          <w:bCs/>
          <w:i/>
          <w:iCs/>
          <w:sz w:val="24"/>
          <w:szCs w:val="24"/>
          <w:lang w:val="es-ES"/>
        </w:rPr>
        <w:t xml:space="preserve">desafíos </w:t>
      </w:r>
      <w:r w:rsidRPr="00F553AD">
        <w:rPr>
          <w:rFonts w:eastAsia="Times New Roman" w:cstheme="minorHAnsi"/>
          <w:bCs/>
          <w:i/>
          <w:iCs/>
          <w:sz w:val="24"/>
          <w:szCs w:val="24"/>
          <w:lang w:val="es-ES"/>
        </w:rPr>
        <w:t>de crecimiento para las entidades financieras</w:t>
      </w:r>
      <w:r w:rsidR="00E65F18" w:rsidRPr="00F553AD">
        <w:rPr>
          <w:rFonts w:eastAsia="Times New Roman" w:cstheme="minorHAnsi"/>
          <w:bCs/>
          <w:sz w:val="24"/>
          <w:szCs w:val="24"/>
          <w:lang w:val="es-ES"/>
        </w:rPr>
        <w:t>”,</w:t>
      </w:r>
      <w:r w:rsidRPr="00F553AD">
        <w:rPr>
          <w:rFonts w:eastAsia="Times New Roman" w:cstheme="minorHAnsi"/>
          <w:bCs/>
          <w:sz w:val="24"/>
          <w:szCs w:val="24"/>
          <w:lang w:val="es-ES"/>
        </w:rPr>
        <w:t xml:space="preserve"> </w:t>
      </w:r>
      <w:r w:rsidR="003F2DCA" w:rsidRPr="00F553AD">
        <w:rPr>
          <w:rFonts w:eastAsia="Times New Roman" w:cstheme="minorHAnsi"/>
          <w:bCs/>
          <w:i/>
          <w:iCs/>
          <w:sz w:val="24"/>
          <w:szCs w:val="24"/>
          <w:lang w:val="es-ES"/>
        </w:rPr>
        <w:t>dijo Olivella. "</w:t>
      </w:r>
      <w:r w:rsidR="00E65F18" w:rsidRPr="00F553AD">
        <w:rPr>
          <w:rFonts w:eastAsia="Times New Roman" w:cstheme="minorHAnsi"/>
          <w:bCs/>
          <w:i/>
          <w:iCs/>
          <w:sz w:val="24"/>
          <w:szCs w:val="24"/>
          <w:lang w:val="es-ES"/>
        </w:rPr>
        <w:t>Esto r</w:t>
      </w:r>
      <w:r w:rsidR="003F2DCA" w:rsidRPr="00F553AD">
        <w:rPr>
          <w:rFonts w:eastAsia="Times New Roman" w:cstheme="minorHAnsi"/>
          <w:bCs/>
          <w:i/>
          <w:iCs/>
          <w:sz w:val="24"/>
          <w:szCs w:val="24"/>
          <w:lang w:val="es-ES"/>
        </w:rPr>
        <w:t xml:space="preserve">efuerza la necesidad de ser resilientes, </w:t>
      </w:r>
      <w:r w:rsidR="00B43998" w:rsidRPr="00F553AD">
        <w:rPr>
          <w:rFonts w:eastAsia="Times New Roman" w:cstheme="minorHAnsi"/>
          <w:bCs/>
          <w:i/>
          <w:iCs/>
          <w:sz w:val="24"/>
          <w:szCs w:val="24"/>
          <w:lang w:val="es-ES"/>
        </w:rPr>
        <w:t xml:space="preserve">apoyándose en </w:t>
      </w:r>
      <w:r w:rsidR="00E65F18" w:rsidRPr="00F553AD">
        <w:rPr>
          <w:rFonts w:eastAsia="Times New Roman" w:cstheme="minorHAnsi"/>
          <w:bCs/>
          <w:i/>
          <w:iCs/>
          <w:sz w:val="24"/>
          <w:szCs w:val="24"/>
          <w:lang w:val="es-ES"/>
        </w:rPr>
        <w:t xml:space="preserve">el uso de </w:t>
      </w:r>
      <w:r w:rsidR="003F2DCA" w:rsidRPr="00F553AD">
        <w:rPr>
          <w:rFonts w:eastAsia="Times New Roman" w:cstheme="minorHAnsi"/>
          <w:bCs/>
          <w:i/>
          <w:iCs/>
          <w:sz w:val="24"/>
          <w:szCs w:val="24"/>
          <w:lang w:val="es-ES"/>
        </w:rPr>
        <w:t xml:space="preserve">datos y análisis mejorados para </w:t>
      </w:r>
      <w:r w:rsidR="00E65F18" w:rsidRPr="00F553AD">
        <w:rPr>
          <w:rFonts w:eastAsia="Times New Roman" w:cstheme="minorHAnsi"/>
          <w:bCs/>
          <w:i/>
          <w:iCs/>
          <w:sz w:val="24"/>
          <w:szCs w:val="24"/>
          <w:lang w:val="es-ES"/>
        </w:rPr>
        <w:t xml:space="preserve">identificar </w:t>
      </w:r>
      <w:r w:rsidR="003F2DCA" w:rsidRPr="00F553AD">
        <w:rPr>
          <w:rFonts w:eastAsia="Times New Roman" w:cstheme="minorHAnsi"/>
          <w:bCs/>
          <w:i/>
          <w:iCs/>
          <w:sz w:val="24"/>
          <w:szCs w:val="24"/>
          <w:lang w:val="es-ES"/>
        </w:rPr>
        <w:t>a los consumidores que probablemente necesiten crédito</w:t>
      </w:r>
      <w:r w:rsidR="00E65F18" w:rsidRPr="00F553AD">
        <w:rPr>
          <w:rFonts w:eastAsia="Times New Roman" w:cstheme="minorHAnsi"/>
          <w:bCs/>
          <w:i/>
          <w:iCs/>
          <w:sz w:val="24"/>
          <w:szCs w:val="24"/>
          <w:lang w:val="es-ES"/>
        </w:rPr>
        <w:t xml:space="preserve"> y tengan la capacidad de pagar estas nuevas obligaciones</w:t>
      </w:r>
      <w:r w:rsidR="003F2DCA" w:rsidRPr="00F553AD">
        <w:rPr>
          <w:rFonts w:eastAsia="Times New Roman" w:cstheme="minorHAnsi"/>
          <w:bCs/>
          <w:i/>
          <w:iCs/>
          <w:sz w:val="24"/>
          <w:szCs w:val="24"/>
          <w:lang w:val="es-ES"/>
        </w:rPr>
        <w:t>, y construir o mantener la lealtad con esos consumidores durante estos tiempos difíciles."</w:t>
      </w:r>
    </w:p>
    <w:p w14:paraId="62F04EF5" w14:textId="77777777" w:rsidR="003F2DCA" w:rsidRPr="00F553AD" w:rsidRDefault="003F2DCA" w:rsidP="00FC6A91">
      <w:pPr>
        <w:spacing w:after="0" w:line="240" w:lineRule="auto"/>
        <w:jc w:val="both"/>
        <w:rPr>
          <w:rFonts w:cstheme="minorHAnsi"/>
          <w:bCs/>
          <w:sz w:val="24"/>
          <w:szCs w:val="24"/>
          <w:lang w:val="es-ES"/>
        </w:rPr>
      </w:pPr>
    </w:p>
    <w:p w14:paraId="1510A18F" w14:textId="513A9129" w:rsidR="003F2DCA" w:rsidRPr="00F553AD" w:rsidRDefault="003F2DCA" w:rsidP="00FC6A91">
      <w:pPr>
        <w:spacing w:after="0" w:line="240" w:lineRule="auto"/>
        <w:jc w:val="both"/>
        <w:rPr>
          <w:rFonts w:cstheme="minorHAnsi"/>
          <w:bCs/>
          <w:sz w:val="24"/>
          <w:szCs w:val="24"/>
          <w:lang w:val="es-ES"/>
        </w:rPr>
      </w:pPr>
      <w:r w:rsidRPr="00F553AD">
        <w:rPr>
          <w:rFonts w:cstheme="minorHAnsi"/>
          <w:bCs/>
          <w:sz w:val="24"/>
          <w:szCs w:val="24"/>
          <w:lang w:val="es-ES"/>
        </w:rPr>
        <w:t>Según la</w:t>
      </w:r>
      <w:r w:rsidR="00B43998" w:rsidRPr="00F553AD">
        <w:rPr>
          <w:rFonts w:cstheme="minorHAnsi"/>
          <w:bCs/>
          <w:sz w:val="24"/>
          <w:szCs w:val="24"/>
          <w:lang w:val="es-ES"/>
        </w:rPr>
        <w:t xml:space="preserve"> más</w:t>
      </w:r>
      <w:r w:rsidRPr="00F553AD">
        <w:rPr>
          <w:rFonts w:cstheme="minorHAnsi"/>
          <w:bCs/>
          <w:sz w:val="24"/>
          <w:szCs w:val="24"/>
          <w:lang w:val="es-ES"/>
        </w:rPr>
        <w:t xml:space="preserve"> reciente </w:t>
      </w:r>
      <w:r w:rsidR="00E65F18" w:rsidRPr="00F553AD">
        <w:rPr>
          <w:rFonts w:cstheme="minorHAnsi"/>
          <w:bCs/>
          <w:sz w:val="24"/>
          <w:szCs w:val="24"/>
          <w:lang w:val="es-ES"/>
        </w:rPr>
        <w:t>e</w:t>
      </w:r>
      <w:r w:rsidRPr="00F553AD">
        <w:rPr>
          <w:rFonts w:cstheme="minorHAnsi"/>
          <w:bCs/>
          <w:sz w:val="24"/>
          <w:szCs w:val="24"/>
          <w:lang w:val="es-ES"/>
        </w:rPr>
        <w:t xml:space="preserve">ncuesta de </w:t>
      </w:r>
      <w:proofErr w:type="spellStart"/>
      <w:r w:rsidR="00E65F18" w:rsidRPr="00F553AD">
        <w:rPr>
          <w:rFonts w:cstheme="minorHAnsi"/>
          <w:bCs/>
          <w:sz w:val="24"/>
          <w:szCs w:val="24"/>
          <w:lang w:val="es-ES"/>
        </w:rPr>
        <w:t>Consumer</w:t>
      </w:r>
      <w:proofErr w:type="spellEnd"/>
      <w:r w:rsidR="00E65F18" w:rsidRPr="00F553AD">
        <w:rPr>
          <w:rFonts w:cstheme="minorHAnsi"/>
          <w:bCs/>
          <w:sz w:val="24"/>
          <w:szCs w:val="24"/>
          <w:lang w:val="es-ES"/>
        </w:rPr>
        <w:t xml:space="preserve"> Pulse de </w:t>
      </w:r>
      <w:proofErr w:type="spellStart"/>
      <w:r w:rsidRPr="00F553AD">
        <w:rPr>
          <w:rFonts w:cstheme="minorHAnsi"/>
          <w:bCs/>
          <w:sz w:val="24"/>
          <w:szCs w:val="24"/>
          <w:lang w:val="es-ES"/>
        </w:rPr>
        <w:t>TransUnion</w:t>
      </w:r>
      <w:proofErr w:type="spellEnd"/>
      <w:r w:rsidRPr="00F553AD">
        <w:rPr>
          <w:rFonts w:cstheme="minorHAnsi"/>
          <w:bCs/>
          <w:sz w:val="24"/>
          <w:szCs w:val="24"/>
          <w:lang w:val="es-ES"/>
        </w:rPr>
        <w:t xml:space="preserve">, a pesar de la disminución de las originaciones en comparación con enero de 2020, el 51% de los consumidores encuestados tiene previsto solicitar un nuevo crédito </w:t>
      </w:r>
      <w:r w:rsidR="00E65F18" w:rsidRPr="00F553AD">
        <w:rPr>
          <w:rFonts w:cstheme="minorHAnsi"/>
          <w:bCs/>
          <w:sz w:val="24"/>
          <w:szCs w:val="24"/>
          <w:lang w:val="es-ES"/>
        </w:rPr>
        <w:t xml:space="preserve">durante </w:t>
      </w:r>
      <w:r w:rsidRPr="00F553AD">
        <w:rPr>
          <w:rFonts w:cstheme="minorHAnsi"/>
          <w:bCs/>
          <w:sz w:val="24"/>
          <w:szCs w:val="24"/>
          <w:lang w:val="es-ES"/>
        </w:rPr>
        <w:t xml:space="preserve">el próximo año. El 54% </w:t>
      </w:r>
      <w:r w:rsidR="00E65F18" w:rsidRPr="00F553AD">
        <w:rPr>
          <w:rFonts w:cstheme="minorHAnsi"/>
          <w:bCs/>
          <w:sz w:val="24"/>
          <w:szCs w:val="24"/>
          <w:lang w:val="es-ES"/>
        </w:rPr>
        <w:t xml:space="preserve">había considerado </w:t>
      </w:r>
      <w:r w:rsidRPr="00F553AD">
        <w:rPr>
          <w:rFonts w:cstheme="minorHAnsi"/>
          <w:bCs/>
          <w:sz w:val="24"/>
          <w:szCs w:val="24"/>
          <w:lang w:val="es-ES"/>
        </w:rPr>
        <w:t xml:space="preserve">solicitar un nuevo crédito o refinanciar </w:t>
      </w:r>
      <w:r w:rsidR="00E65F18" w:rsidRPr="00F553AD">
        <w:rPr>
          <w:rFonts w:cstheme="minorHAnsi"/>
          <w:bCs/>
          <w:sz w:val="24"/>
          <w:szCs w:val="24"/>
          <w:lang w:val="es-ES"/>
        </w:rPr>
        <w:t xml:space="preserve">un crédito </w:t>
      </w:r>
      <w:r w:rsidRPr="00F553AD">
        <w:rPr>
          <w:rFonts w:cstheme="minorHAnsi"/>
          <w:bCs/>
          <w:sz w:val="24"/>
          <w:szCs w:val="24"/>
          <w:lang w:val="es-ES"/>
        </w:rPr>
        <w:t>existente este año, pero finalmente</w:t>
      </w:r>
      <w:r w:rsidR="00E65F18" w:rsidRPr="00F553AD">
        <w:rPr>
          <w:rFonts w:cstheme="minorHAnsi"/>
          <w:bCs/>
          <w:sz w:val="24"/>
          <w:szCs w:val="24"/>
          <w:lang w:val="es-ES"/>
        </w:rPr>
        <w:t xml:space="preserve"> decidió no hacerlo</w:t>
      </w:r>
      <w:r w:rsidRPr="00F553AD">
        <w:rPr>
          <w:rFonts w:cstheme="minorHAnsi"/>
          <w:bCs/>
          <w:sz w:val="24"/>
          <w:szCs w:val="24"/>
          <w:lang w:val="es-ES"/>
        </w:rPr>
        <w:t xml:space="preserve">. Entre esos consumidores, las razones </w:t>
      </w:r>
      <w:r w:rsidR="00916B68" w:rsidRPr="00F553AD">
        <w:rPr>
          <w:rFonts w:cstheme="minorHAnsi"/>
          <w:bCs/>
          <w:sz w:val="24"/>
          <w:szCs w:val="24"/>
          <w:lang w:val="es-ES"/>
        </w:rPr>
        <w:t xml:space="preserve">más </w:t>
      </w:r>
      <w:r w:rsidR="00E65F18" w:rsidRPr="00F553AD">
        <w:rPr>
          <w:rFonts w:cstheme="minorHAnsi"/>
          <w:bCs/>
          <w:sz w:val="24"/>
          <w:szCs w:val="24"/>
          <w:lang w:val="es-ES"/>
        </w:rPr>
        <w:t xml:space="preserve">citadas </w:t>
      </w:r>
      <w:r w:rsidRPr="00F553AD">
        <w:rPr>
          <w:rFonts w:cstheme="minorHAnsi"/>
          <w:bCs/>
          <w:sz w:val="24"/>
          <w:szCs w:val="24"/>
          <w:lang w:val="es-ES"/>
        </w:rPr>
        <w:t>para no solicitarlo fueron que el cost</w:t>
      </w:r>
      <w:r w:rsidR="00933204" w:rsidRPr="00F553AD">
        <w:rPr>
          <w:rFonts w:cstheme="minorHAnsi"/>
          <w:bCs/>
          <w:sz w:val="24"/>
          <w:szCs w:val="24"/>
          <w:lang w:val="es-ES"/>
        </w:rPr>
        <w:t>o</w:t>
      </w:r>
      <w:r w:rsidRPr="00F553AD">
        <w:rPr>
          <w:rFonts w:cstheme="minorHAnsi"/>
          <w:bCs/>
          <w:sz w:val="24"/>
          <w:szCs w:val="24"/>
          <w:lang w:val="es-ES"/>
        </w:rPr>
        <w:t xml:space="preserve"> </w:t>
      </w:r>
      <w:r w:rsidRPr="00F553AD">
        <w:rPr>
          <w:rFonts w:cstheme="minorHAnsi"/>
          <w:bCs/>
          <w:sz w:val="24"/>
          <w:szCs w:val="24"/>
          <w:lang w:val="es-ES"/>
        </w:rPr>
        <w:lastRenderedPageBreak/>
        <w:t>del nuevo crédito o de la refinanciación era demasiado elevado (34%) o que creían que su solicitud sería rechazada debido a su situación de ingresos</w:t>
      </w:r>
      <w:r w:rsidR="00933204" w:rsidRPr="00F553AD">
        <w:rPr>
          <w:rFonts w:cstheme="minorHAnsi"/>
          <w:bCs/>
          <w:sz w:val="24"/>
          <w:szCs w:val="24"/>
          <w:lang w:val="es-ES"/>
        </w:rPr>
        <w:t xml:space="preserve"> y </w:t>
      </w:r>
      <w:r w:rsidRPr="00F553AD">
        <w:rPr>
          <w:rFonts w:cstheme="minorHAnsi"/>
          <w:bCs/>
          <w:sz w:val="24"/>
          <w:szCs w:val="24"/>
          <w:lang w:val="es-ES"/>
        </w:rPr>
        <w:t>empleo (20%).</w:t>
      </w:r>
    </w:p>
    <w:p w14:paraId="2E98426A" w14:textId="77777777" w:rsidR="00E65F18" w:rsidRPr="00F553AD" w:rsidRDefault="00E65F18" w:rsidP="00FC6A91">
      <w:pPr>
        <w:spacing w:after="0" w:line="240" w:lineRule="auto"/>
        <w:jc w:val="both"/>
        <w:rPr>
          <w:rFonts w:cstheme="minorHAnsi"/>
          <w:bCs/>
          <w:sz w:val="24"/>
          <w:szCs w:val="24"/>
          <w:lang w:val="es-ES"/>
        </w:rPr>
      </w:pPr>
    </w:p>
    <w:p w14:paraId="54BE4ADE" w14:textId="67118198" w:rsidR="00933204" w:rsidRPr="00F553AD" w:rsidRDefault="00933204" w:rsidP="00FC6A91">
      <w:pPr>
        <w:spacing w:before="180" w:after="240" w:line="240" w:lineRule="auto"/>
        <w:jc w:val="both"/>
        <w:rPr>
          <w:rFonts w:eastAsia="Times New Roman" w:cstheme="minorHAnsi"/>
          <w:b/>
          <w:i/>
          <w:iCs/>
          <w:sz w:val="24"/>
          <w:szCs w:val="24"/>
          <w:lang w:val="es-ES"/>
        </w:rPr>
      </w:pPr>
      <w:r w:rsidRPr="00F553AD">
        <w:rPr>
          <w:rFonts w:eastAsia="Times New Roman" w:cstheme="minorHAnsi"/>
          <w:b/>
          <w:i/>
          <w:iCs/>
          <w:sz w:val="24"/>
          <w:szCs w:val="24"/>
          <w:lang w:val="es-ES"/>
        </w:rPr>
        <w:t xml:space="preserve">Impacto </w:t>
      </w:r>
      <w:r w:rsidR="00E65F18" w:rsidRPr="00F553AD">
        <w:rPr>
          <w:rFonts w:eastAsia="Times New Roman" w:cstheme="minorHAnsi"/>
          <w:b/>
          <w:i/>
          <w:iCs/>
          <w:sz w:val="24"/>
          <w:szCs w:val="24"/>
          <w:lang w:val="es-ES"/>
        </w:rPr>
        <w:t xml:space="preserve">en el crédito se siente </w:t>
      </w:r>
      <w:r w:rsidR="00576D93">
        <w:rPr>
          <w:rFonts w:eastAsia="Times New Roman" w:cstheme="minorHAnsi"/>
          <w:b/>
          <w:i/>
          <w:iCs/>
          <w:sz w:val="24"/>
          <w:szCs w:val="24"/>
          <w:lang w:val="es-ES"/>
        </w:rPr>
        <w:t xml:space="preserve">con </w:t>
      </w:r>
      <w:r w:rsidR="00E65F18" w:rsidRPr="00F553AD">
        <w:rPr>
          <w:rFonts w:eastAsia="Times New Roman" w:cstheme="minorHAnsi"/>
          <w:b/>
          <w:i/>
          <w:iCs/>
          <w:sz w:val="24"/>
          <w:szCs w:val="24"/>
          <w:lang w:val="es-ES"/>
        </w:rPr>
        <w:t xml:space="preserve">finalizan </w:t>
      </w:r>
      <w:r w:rsidR="00576D93">
        <w:rPr>
          <w:rFonts w:eastAsia="Times New Roman" w:cstheme="minorHAnsi"/>
          <w:b/>
          <w:i/>
          <w:iCs/>
          <w:sz w:val="24"/>
          <w:szCs w:val="24"/>
          <w:lang w:val="es-ES"/>
        </w:rPr>
        <w:t xml:space="preserve">de </w:t>
      </w:r>
      <w:r w:rsidRPr="00F553AD">
        <w:rPr>
          <w:rFonts w:eastAsia="Times New Roman" w:cstheme="minorHAnsi"/>
          <w:b/>
          <w:i/>
          <w:iCs/>
          <w:sz w:val="24"/>
          <w:szCs w:val="24"/>
          <w:lang w:val="es-ES"/>
        </w:rPr>
        <w:t>alivios financieros</w:t>
      </w:r>
    </w:p>
    <w:p w14:paraId="21122182" w14:textId="419B4581" w:rsidR="00933204" w:rsidRPr="00F553AD" w:rsidRDefault="00933204" w:rsidP="00FC6A91">
      <w:pPr>
        <w:spacing w:before="180" w:after="240" w:line="240" w:lineRule="auto"/>
        <w:jc w:val="both"/>
        <w:rPr>
          <w:rFonts w:cstheme="minorHAnsi"/>
          <w:bCs/>
          <w:sz w:val="24"/>
          <w:szCs w:val="24"/>
          <w:lang w:val="es-ES"/>
        </w:rPr>
      </w:pPr>
      <w:r w:rsidRPr="00F553AD">
        <w:rPr>
          <w:rFonts w:cstheme="minorHAnsi"/>
          <w:bCs/>
          <w:sz w:val="24"/>
          <w:szCs w:val="24"/>
          <w:lang w:val="es-ES"/>
        </w:rPr>
        <w:t>Un nuevo estudio de TransUnion</w:t>
      </w:r>
      <w:r w:rsidR="00E65F18" w:rsidRPr="00F553AD">
        <w:rPr>
          <w:rFonts w:cstheme="minorHAnsi"/>
          <w:bCs/>
          <w:sz w:val="24"/>
          <w:szCs w:val="24"/>
          <w:lang w:val="es-ES"/>
        </w:rPr>
        <w:t xml:space="preserve"> donde se analizó</w:t>
      </w:r>
      <w:r w:rsidRPr="00F553AD">
        <w:rPr>
          <w:rFonts w:cstheme="minorHAnsi"/>
          <w:bCs/>
          <w:sz w:val="24"/>
          <w:szCs w:val="24"/>
          <w:lang w:val="es-ES"/>
        </w:rPr>
        <w:t xml:space="preserve"> a un millón de consumidores colombianos que recibieron al menos un alivio financiero entre marzo y septiembre de 2020 encontró que el aumento de la morosidad </w:t>
      </w:r>
      <w:r w:rsidR="00E65F18" w:rsidRPr="00F553AD">
        <w:rPr>
          <w:rFonts w:cstheme="minorHAnsi"/>
          <w:bCs/>
          <w:sz w:val="24"/>
          <w:szCs w:val="24"/>
          <w:lang w:val="es-ES"/>
        </w:rPr>
        <w:t xml:space="preserve">que estamos viendo en el mercado podría deberse en parte al </w:t>
      </w:r>
      <w:r w:rsidRPr="00F553AD">
        <w:rPr>
          <w:rFonts w:cstheme="minorHAnsi"/>
          <w:bCs/>
          <w:sz w:val="24"/>
          <w:szCs w:val="24"/>
          <w:lang w:val="es-ES"/>
        </w:rPr>
        <w:t xml:space="preserve">fin </w:t>
      </w:r>
      <w:r w:rsidR="009662B2" w:rsidRPr="00F553AD">
        <w:rPr>
          <w:rFonts w:cstheme="minorHAnsi"/>
          <w:bCs/>
          <w:sz w:val="24"/>
          <w:szCs w:val="24"/>
          <w:lang w:val="es-ES"/>
        </w:rPr>
        <w:t>de los alivios financieros</w:t>
      </w:r>
      <w:r w:rsidRPr="00F553AD">
        <w:rPr>
          <w:rFonts w:cstheme="minorHAnsi"/>
          <w:bCs/>
          <w:sz w:val="24"/>
          <w:szCs w:val="24"/>
          <w:lang w:val="es-ES"/>
        </w:rPr>
        <w:t xml:space="preserve">. TransUnion estudió a los consumidores que recibieron </w:t>
      </w:r>
      <w:r w:rsidR="00E65F18" w:rsidRPr="00F553AD">
        <w:rPr>
          <w:rFonts w:cstheme="minorHAnsi"/>
          <w:bCs/>
          <w:sz w:val="24"/>
          <w:szCs w:val="24"/>
          <w:lang w:val="es-ES"/>
        </w:rPr>
        <w:t xml:space="preserve">alivios </w:t>
      </w:r>
      <w:r w:rsidRPr="00F553AD">
        <w:rPr>
          <w:rFonts w:cstheme="minorHAnsi"/>
          <w:bCs/>
          <w:sz w:val="24"/>
          <w:szCs w:val="24"/>
          <w:lang w:val="es-ES"/>
        </w:rPr>
        <w:t>cuando comenzó la pandemia y observó su desempeño nuev</w:t>
      </w:r>
      <w:r w:rsidR="00E65F18" w:rsidRPr="00F553AD">
        <w:rPr>
          <w:rFonts w:cstheme="minorHAnsi"/>
          <w:bCs/>
          <w:sz w:val="24"/>
          <w:szCs w:val="24"/>
          <w:lang w:val="es-ES"/>
        </w:rPr>
        <w:t>amente</w:t>
      </w:r>
      <w:r w:rsidRPr="00F553AD">
        <w:rPr>
          <w:rFonts w:cstheme="minorHAnsi"/>
          <w:bCs/>
          <w:sz w:val="24"/>
          <w:szCs w:val="24"/>
          <w:lang w:val="es-ES"/>
        </w:rPr>
        <w:t xml:space="preserve"> </w:t>
      </w:r>
      <w:r w:rsidR="00E65F18" w:rsidRPr="00F553AD">
        <w:rPr>
          <w:rFonts w:eastAsia="Times New Roman" w:cstheme="minorHAnsi"/>
          <w:bCs/>
          <w:sz w:val="24"/>
          <w:szCs w:val="24"/>
          <w:lang w:val="es-ES"/>
        </w:rPr>
        <w:t>al finalizar el período de alivio</w:t>
      </w:r>
      <w:r w:rsidRPr="00F553AD">
        <w:rPr>
          <w:rFonts w:cstheme="minorHAnsi"/>
          <w:bCs/>
          <w:sz w:val="24"/>
          <w:szCs w:val="24"/>
          <w:lang w:val="es-ES"/>
        </w:rPr>
        <w:t>. Est</w:t>
      </w:r>
      <w:r w:rsidR="00E65F18" w:rsidRPr="00F553AD">
        <w:rPr>
          <w:rFonts w:cstheme="minorHAnsi"/>
          <w:bCs/>
          <w:sz w:val="24"/>
          <w:szCs w:val="24"/>
          <w:lang w:val="es-ES"/>
        </w:rPr>
        <w:t>e</w:t>
      </w:r>
      <w:r w:rsidRPr="00F553AD">
        <w:rPr>
          <w:rFonts w:cstheme="minorHAnsi"/>
          <w:bCs/>
          <w:sz w:val="24"/>
          <w:szCs w:val="24"/>
          <w:lang w:val="es-ES"/>
        </w:rPr>
        <w:t xml:space="preserve"> estudio, junto con l</w:t>
      </w:r>
      <w:r w:rsidR="00E65F18" w:rsidRPr="00F553AD">
        <w:rPr>
          <w:rFonts w:cstheme="minorHAnsi"/>
          <w:bCs/>
          <w:sz w:val="24"/>
          <w:szCs w:val="24"/>
          <w:lang w:val="es-ES"/>
        </w:rPr>
        <w:t>a información</w:t>
      </w:r>
      <w:r w:rsidRPr="00F553AD">
        <w:rPr>
          <w:rFonts w:cstheme="minorHAnsi"/>
          <w:bCs/>
          <w:sz w:val="24"/>
          <w:szCs w:val="24"/>
          <w:lang w:val="es-ES"/>
        </w:rPr>
        <w:t xml:space="preserve"> trimestral </w:t>
      </w:r>
      <w:r w:rsidR="000F1D28" w:rsidRPr="00F553AD">
        <w:rPr>
          <w:rFonts w:cstheme="minorHAnsi"/>
          <w:bCs/>
          <w:sz w:val="24"/>
          <w:szCs w:val="24"/>
          <w:lang w:val="es-ES"/>
        </w:rPr>
        <w:t>de nuestro informe de tendencias del mercado</w:t>
      </w:r>
      <w:r w:rsidRPr="00F553AD">
        <w:rPr>
          <w:rFonts w:cstheme="minorHAnsi"/>
          <w:bCs/>
          <w:sz w:val="24"/>
          <w:szCs w:val="24"/>
          <w:lang w:val="es-ES"/>
        </w:rPr>
        <w:t xml:space="preserve">, </w:t>
      </w:r>
      <w:r w:rsidR="000F1D28" w:rsidRPr="00F553AD">
        <w:rPr>
          <w:rFonts w:eastAsia="Times New Roman" w:cstheme="minorHAnsi"/>
          <w:bCs/>
          <w:sz w:val="24"/>
          <w:szCs w:val="24"/>
          <w:lang w:val="es-ES"/>
        </w:rPr>
        <w:t xml:space="preserve">muestra que el fin de los programas de alivio para muchos consumidores está impulsando en parte el deterioro observado en el </w:t>
      </w:r>
      <w:r w:rsidR="00B43998" w:rsidRPr="00F553AD">
        <w:rPr>
          <w:rFonts w:cstheme="minorHAnsi"/>
          <w:bCs/>
          <w:sz w:val="24"/>
          <w:szCs w:val="24"/>
          <w:lang w:val="es-ES"/>
        </w:rPr>
        <w:t xml:space="preserve">mercado </w:t>
      </w:r>
      <w:r w:rsidRPr="00F553AD">
        <w:rPr>
          <w:rFonts w:cstheme="minorHAnsi"/>
          <w:bCs/>
          <w:sz w:val="24"/>
          <w:szCs w:val="24"/>
          <w:lang w:val="es-ES"/>
        </w:rPr>
        <w:t>crediticio.</w:t>
      </w:r>
    </w:p>
    <w:p w14:paraId="6677937B" w14:textId="18B5E9C0" w:rsidR="000F1D28" w:rsidRPr="00F553AD" w:rsidRDefault="00BE381D" w:rsidP="00FC6A91">
      <w:pPr>
        <w:spacing w:before="180" w:after="240" w:line="240" w:lineRule="auto"/>
        <w:jc w:val="both"/>
        <w:rPr>
          <w:rFonts w:cstheme="minorHAnsi"/>
          <w:bCs/>
          <w:sz w:val="24"/>
          <w:szCs w:val="24"/>
          <w:lang w:val="es-ES"/>
        </w:rPr>
      </w:pPr>
      <w:r w:rsidRPr="00F553AD">
        <w:rPr>
          <w:rFonts w:cstheme="minorHAnsi"/>
          <w:bCs/>
          <w:sz w:val="24"/>
          <w:szCs w:val="24"/>
          <w:lang w:val="es-ES"/>
        </w:rPr>
        <w:t xml:space="preserve">En febrero de 2020, el 8,3% de todos los consumidores con tarjeta de crédito </w:t>
      </w:r>
      <w:r w:rsidR="000F1D28" w:rsidRPr="00F553AD">
        <w:rPr>
          <w:rFonts w:cstheme="minorHAnsi"/>
          <w:bCs/>
          <w:sz w:val="24"/>
          <w:szCs w:val="24"/>
          <w:lang w:val="es-ES"/>
        </w:rPr>
        <w:t xml:space="preserve">tenían </w:t>
      </w:r>
      <w:r w:rsidRPr="00F553AD">
        <w:rPr>
          <w:rFonts w:cstheme="minorHAnsi"/>
          <w:bCs/>
          <w:sz w:val="24"/>
          <w:szCs w:val="24"/>
          <w:lang w:val="es-ES"/>
        </w:rPr>
        <w:t xml:space="preserve">30 días o más de </w:t>
      </w:r>
      <w:r w:rsidR="000F1D28" w:rsidRPr="00F553AD">
        <w:rPr>
          <w:rFonts w:cstheme="minorHAnsi"/>
          <w:bCs/>
          <w:sz w:val="24"/>
          <w:szCs w:val="24"/>
          <w:lang w:val="es-ES"/>
        </w:rPr>
        <w:t xml:space="preserve">mora </w:t>
      </w:r>
      <w:r w:rsidRPr="00F553AD">
        <w:rPr>
          <w:rFonts w:cstheme="minorHAnsi"/>
          <w:bCs/>
          <w:sz w:val="24"/>
          <w:szCs w:val="24"/>
          <w:lang w:val="es-ES"/>
        </w:rPr>
        <w:t xml:space="preserve">en el pago de esta obligación, </w:t>
      </w:r>
      <w:r w:rsidR="000F1D28" w:rsidRPr="00F553AD">
        <w:rPr>
          <w:rFonts w:cstheme="minorHAnsi"/>
          <w:bCs/>
          <w:sz w:val="24"/>
          <w:szCs w:val="24"/>
          <w:lang w:val="es-ES"/>
        </w:rPr>
        <w:t xml:space="preserve">mientras que </w:t>
      </w:r>
      <w:r w:rsidRPr="00F553AD">
        <w:rPr>
          <w:rFonts w:cstheme="minorHAnsi"/>
          <w:bCs/>
          <w:sz w:val="24"/>
          <w:szCs w:val="24"/>
          <w:lang w:val="es-ES"/>
        </w:rPr>
        <w:t>el 8,2% de todos los consumidores con un crédito de libre inversi</w:t>
      </w:r>
      <w:r w:rsidR="006805F9" w:rsidRPr="00F553AD">
        <w:rPr>
          <w:rFonts w:cstheme="minorHAnsi"/>
          <w:bCs/>
          <w:sz w:val="24"/>
          <w:szCs w:val="24"/>
          <w:lang w:val="es-ES"/>
        </w:rPr>
        <w:t>ó</w:t>
      </w:r>
      <w:r w:rsidRPr="00F553AD">
        <w:rPr>
          <w:rFonts w:cstheme="minorHAnsi"/>
          <w:bCs/>
          <w:sz w:val="24"/>
          <w:szCs w:val="24"/>
          <w:lang w:val="es-ES"/>
        </w:rPr>
        <w:t xml:space="preserve">n tenían 30 días o más de </w:t>
      </w:r>
      <w:r w:rsidR="000F1D28" w:rsidRPr="00F553AD">
        <w:rPr>
          <w:rFonts w:cstheme="minorHAnsi"/>
          <w:bCs/>
          <w:sz w:val="24"/>
          <w:szCs w:val="24"/>
          <w:lang w:val="es-ES"/>
        </w:rPr>
        <w:t xml:space="preserve">mora </w:t>
      </w:r>
      <w:r w:rsidRPr="00F553AD">
        <w:rPr>
          <w:rFonts w:cstheme="minorHAnsi"/>
          <w:bCs/>
          <w:sz w:val="24"/>
          <w:szCs w:val="24"/>
          <w:lang w:val="es-ES"/>
        </w:rPr>
        <w:t xml:space="preserve">en el pago de este </w:t>
      </w:r>
      <w:r w:rsidR="000F1D28" w:rsidRPr="00F553AD">
        <w:rPr>
          <w:rFonts w:cstheme="minorHAnsi"/>
          <w:bCs/>
          <w:sz w:val="24"/>
          <w:szCs w:val="24"/>
          <w:lang w:val="es-ES"/>
        </w:rPr>
        <w:t>crédito</w:t>
      </w:r>
      <w:r w:rsidRPr="00F553AD">
        <w:rPr>
          <w:rFonts w:cstheme="minorHAnsi"/>
          <w:bCs/>
          <w:sz w:val="24"/>
          <w:szCs w:val="24"/>
          <w:lang w:val="es-ES"/>
        </w:rPr>
        <w:t xml:space="preserve">. </w:t>
      </w:r>
      <w:r w:rsidR="000F1D28" w:rsidRPr="00F553AD">
        <w:rPr>
          <w:rFonts w:cstheme="minorHAnsi"/>
          <w:bCs/>
          <w:sz w:val="24"/>
          <w:szCs w:val="24"/>
          <w:lang w:val="es-ES"/>
        </w:rPr>
        <w:t>Ambos porcentajes mejoraron artificialmente durante algunos meses debido a los alivios,</w:t>
      </w:r>
      <w:r w:rsidR="000F1D28" w:rsidRPr="00F553AD">
        <w:rPr>
          <w:rFonts w:cstheme="minorHAnsi"/>
          <w:sz w:val="24"/>
          <w:szCs w:val="24"/>
          <w:lang w:val="es-CO"/>
        </w:rPr>
        <w:t xml:space="preserve"> </w:t>
      </w:r>
      <w:r w:rsidR="000F1D28" w:rsidRPr="00F553AD">
        <w:rPr>
          <w:rFonts w:cstheme="minorHAnsi"/>
          <w:bCs/>
          <w:sz w:val="24"/>
          <w:szCs w:val="24"/>
          <w:lang w:val="es-ES"/>
        </w:rPr>
        <w:t xml:space="preserve">disminuyendo al 8,2% y 6,8% en junio de 2020 para consumidores con tarjetas y créditos de libre inversión, respectivamente, y al 6,5% y 6,8% en septiembre de 2020, también para tarjetas y libre inversión, respectivamente. </w:t>
      </w:r>
    </w:p>
    <w:p w14:paraId="08039126" w14:textId="5937C451" w:rsidR="007C2B1A" w:rsidRPr="00F553AD" w:rsidRDefault="000F1D28" w:rsidP="00FC6A91">
      <w:pPr>
        <w:spacing w:before="180" w:after="240" w:line="240" w:lineRule="auto"/>
        <w:jc w:val="both"/>
        <w:rPr>
          <w:rFonts w:cstheme="minorHAnsi"/>
          <w:bCs/>
          <w:sz w:val="24"/>
          <w:szCs w:val="24"/>
          <w:lang w:val="es-ES"/>
        </w:rPr>
      </w:pPr>
      <w:r w:rsidRPr="00F553AD">
        <w:rPr>
          <w:rFonts w:cstheme="minorHAnsi"/>
          <w:bCs/>
          <w:sz w:val="24"/>
          <w:szCs w:val="24"/>
          <w:lang w:val="es-ES"/>
        </w:rPr>
        <w:t>Sin embargo, a</w:t>
      </w:r>
      <w:r w:rsidR="00BE381D" w:rsidRPr="00F553AD">
        <w:rPr>
          <w:rFonts w:cstheme="minorHAnsi"/>
          <w:bCs/>
          <w:sz w:val="24"/>
          <w:szCs w:val="24"/>
          <w:lang w:val="es-ES"/>
        </w:rPr>
        <w:t xml:space="preserve"> diciembre de 2020, </w:t>
      </w:r>
      <w:r w:rsidRPr="00F553AD">
        <w:rPr>
          <w:rFonts w:cstheme="minorHAnsi"/>
          <w:bCs/>
          <w:sz w:val="24"/>
          <w:szCs w:val="24"/>
          <w:lang w:val="es-ES"/>
        </w:rPr>
        <w:t>el porcentaje de consumidores que tenían 30 días o más de mora en u</w:t>
      </w:r>
      <w:r w:rsidR="00BB5078" w:rsidRPr="00F553AD">
        <w:rPr>
          <w:rFonts w:cstheme="minorHAnsi"/>
          <w:bCs/>
          <w:sz w:val="24"/>
          <w:szCs w:val="24"/>
          <w:lang w:val="es-ES"/>
        </w:rPr>
        <w:t>na tarjeta de crédito aumentó a</w:t>
      </w:r>
      <w:r w:rsidRPr="00F553AD">
        <w:rPr>
          <w:rFonts w:cstheme="minorHAnsi"/>
          <w:bCs/>
          <w:sz w:val="24"/>
          <w:szCs w:val="24"/>
          <w:lang w:val="es-ES"/>
        </w:rPr>
        <w:t xml:space="preserve"> 11,0%, </w:t>
      </w:r>
      <w:r w:rsidR="00BB5078" w:rsidRPr="00F553AD">
        <w:rPr>
          <w:rFonts w:cstheme="minorHAnsi"/>
          <w:bCs/>
          <w:sz w:val="24"/>
          <w:szCs w:val="24"/>
          <w:lang w:val="es-ES"/>
        </w:rPr>
        <w:t xml:space="preserve">y lo mismo se observó para </w:t>
      </w:r>
      <w:r w:rsidRPr="00F553AD">
        <w:rPr>
          <w:rFonts w:cstheme="minorHAnsi"/>
          <w:bCs/>
          <w:sz w:val="24"/>
          <w:szCs w:val="24"/>
          <w:lang w:val="es-ES"/>
        </w:rPr>
        <w:t xml:space="preserve">el porcentaje de consumidores que tenían 30 días o más de atraso en un </w:t>
      </w:r>
      <w:r w:rsidR="00BB5078" w:rsidRPr="00F553AD">
        <w:rPr>
          <w:rFonts w:cstheme="minorHAnsi"/>
          <w:bCs/>
          <w:sz w:val="24"/>
          <w:szCs w:val="24"/>
          <w:lang w:val="es-ES"/>
        </w:rPr>
        <w:t xml:space="preserve">crédito de libre inversión. </w:t>
      </w:r>
      <w:r w:rsidR="00BE381D" w:rsidRPr="00F553AD">
        <w:rPr>
          <w:rFonts w:cstheme="minorHAnsi"/>
          <w:bCs/>
          <w:sz w:val="24"/>
          <w:szCs w:val="24"/>
          <w:lang w:val="es-ES"/>
        </w:rPr>
        <w:t xml:space="preserve">En el caso de los consumidores que recibieron alivios, estos porcentajes aumentaron hasta el 30,6% en las tarjetas de crédito y el 16,8% en los </w:t>
      </w:r>
      <w:r w:rsidR="00BB5078" w:rsidRPr="00F553AD">
        <w:rPr>
          <w:rFonts w:cstheme="minorHAnsi"/>
          <w:bCs/>
          <w:sz w:val="24"/>
          <w:szCs w:val="24"/>
          <w:lang w:val="es-ES"/>
        </w:rPr>
        <w:t xml:space="preserve">créditos </w:t>
      </w:r>
      <w:r w:rsidR="00BE381D" w:rsidRPr="00F553AD">
        <w:rPr>
          <w:rFonts w:cstheme="minorHAnsi"/>
          <w:bCs/>
          <w:sz w:val="24"/>
          <w:szCs w:val="24"/>
          <w:lang w:val="es-ES"/>
        </w:rPr>
        <w:t>de libre inversión, cuando el per</w:t>
      </w:r>
      <w:r w:rsidR="007C2B1A" w:rsidRPr="00F553AD">
        <w:rPr>
          <w:rFonts w:cstheme="minorHAnsi"/>
          <w:bCs/>
          <w:sz w:val="24"/>
          <w:szCs w:val="24"/>
          <w:lang w:val="es-ES"/>
        </w:rPr>
        <w:t>i</w:t>
      </w:r>
      <w:r w:rsidR="00BE381D" w:rsidRPr="00F553AD">
        <w:rPr>
          <w:rFonts w:cstheme="minorHAnsi"/>
          <w:bCs/>
          <w:sz w:val="24"/>
          <w:szCs w:val="24"/>
          <w:lang w:val="es-ES"/>
        </w:rPr>
        <w:t xml:space="preserve">odo de </w:t>
      </w:r>
      <w:r w:rsidR="00BB5078" w:rsidRPr="00F553AD">
        <w:rPr>
          <w:rFonts w:cstheme="minorHAnsi"/>
          <w:bCs/>
          <w:sz w:val="24"/>
          <w:szCs w:val="24"/>
          <w:lang w:val="es-ES"/>
        </w:rPr>
        <w:t xml:space="preserve">alivio ya había finalizado </w:t>
      </w:r>
      <w:r w:rsidR="00BE381D" w:rsidRPr="00F553AD">
        <w:rPr>
          <w:rFonts w:cstheme="minorHAnsi"/>
          <w:bCs/>
          <w:sz w:val="24"/>
          <w:szCs w:val="24"/>
          <w:lang w:val="es-ES"/>
        </w:rPr>
        <w:t xml:space="preserve">para </w:t>
      </w:r>
      <w:r w:rsidR="00BB5078" w:rsidRPr="00F553AD">
        <w:rPr>
          <w:rFonts w:cstheme="minorHAnsi"/>
          <w:bCs/>
          <w:sz w:val="24"/>
          <w:szCs w:val="24"/>
          <w:lang w:val="es-ES"/>
        </w:rPr>
        <w:t xml:space="preserve">estos </w:t>
      </w:r>
      <w:r w:rsidR="00BE381D" w:rsidRPr="00F553AD">
        <w:rPr>
          <w:rFonts w:cstheme="minorHAnsi"/>
          <w:bCs/>
          <w:sz w:val="24"/>
          <w:szCs w:val="24"/>
          <w:lang w:val="es-ES"/>
        </w:rPr>
        <w:t xml:space="preserve">consumidores. Antes de recibir los alivios, estos consumidores estaban al </w:t>
      </w:r>
      <w:r w:rsidR="006805F9" w:rsidRPr="00F553AD">
        <w:rPr>
          <w:rFonts w:cstheme="minorHAnsi"/>
          <w:bCs/>
          <w:sz w:val="24"/>
          <w:szCs w:val="24"/>
          <w:lang w:val="es-ES"/>
        </w:rPr>
        <w:t>día con</w:t>
      </w:r>
      <w:r w:rsidR="00BE381D" w:rsidRPr="00F553AD">
        <w:rPr>
          <w:rFonts w:cstheme="minorHAnsi"/>
          <w:bCs/>
          <w:sz w:val="24"/>
          <w:szCs w:val="24"/>
          <w:lang w:val="es-ES"/>
        </w:rPr>
        <w:t xml:space="preserve"> sus pagos.</w:t>
      </w:r>
    </w:p>
    <w:p w14:paraId="2FA9E66A" w14:textId="1B66F65C" w:rsidR="00BB5078" w:rsidRPr="00F553AD" w:rsidRDefault="006805F9" w:rsidP="000C353A">
      <w:pPr>
        <w:spacing w:before="180" w:after="240" w:line="240" w:lineRule="auto"/>
        <w:jc w:val="both"/>
        <w:rPr>
          <w:rFonts w:eastAsia="Times New Roman" w:cstheme="minorHAnsi"/>
          <w:b/>
          <w:sz w:val="20"/>
          <w:szCs w:val="21"/>
          <w:lang w:val="es-CO"/>
        </w:rPr>
      </w:pPr>
      <w:r w:rsidRPr="00F553AD">
        <w:rPr>
          <w:rFonts w:eastAsia="Times New Roman" w:cstheme="minorHAnsi"/>
          <w:b/>
          <w:sz w:val="20"/>
          <w:szCs w:val="20"/>
          <w:lang w:val="es-ES"/>
        </w:rPr>
        <w:t>Comportamiento de</w:t>
      </w:r>
      <w:r w:rsidR="00355A17" w:rsidRPr="00F553AD">
        <w:rPr>
          <w:rFonts w:eastAsia="Times New Roman" w:cstheme="minorHAnsi"/>
          <w:b/>
          <w:sz w:val="20"/>
          <w:szCs w:val="20"/>
          <w:lang w:val="es-ES"/>
        </w:rPr>
        <w:t xml:space="preserve"> </w:t>
      </w:r>
      <w:r w:rsidR="00BB5078" w:rsidRPr="00F553AD">
        <w:rPr>
          <w:rFonts w:eastAsia="Times New Roman" w:cstheme="minorHAnsi"/>
          <w:b/>
          <w:sz w:val="20"/>
          <w:szCs w:val="20"/>
          <w:lang w:val="es-ES"/>
        </w:rPr>
        <w:t>C</w:t>
      </w:r>
      <w:r w:rsidR="00355A17" w:rsidRPr="00F553AD">
        <w:rPr>
          <w:rFonts w:eastAsia="Times New Roman" w:cstheme="minorHAnsi"/>
          <w:b/>
          <w:sz w:val="20"/>
          <w:szCs w:val="20"/>
          <w:lang w:val="es-ES"/>
        </w:rPr>
        <w:t xml:space="preserve">rédito </w:t>
      </w:r>
      <w:r w:rsidRPr="00F553AD">
        <w:rPr>
          <w:rFonts w:eastAsia="Times New Roman" w:cstheme="minorHAnsi"/>
          <w:b/>
          <w:sz w:val="20"/>
          <w:szCs w:val="20"/>
          <w:lang w:val="es-ES"/>
        </w:rPr>
        <w:t xml:space="preserve">de </w:t>
      </w:r>
      <w:r w:rsidR="00BB5078" w:rsidRPr="00F553AD">
        <w:rPr>
          <w:rFonts w:eastAsia="Times New Roman" w:cstheme="minorHAnsi"/>
          <w:b/>
          <w:sz w:val="20"/>
          <w:szCs w:val="20"/>
          <w:lang w:val="es-ES"/>
        </w:rPr>
        <w:t>T</w:t>
      </w:r>
      <w:r w:rsidRPr="00F553AD">
        <w:rPr>
          <w:rFonts w:eastAsia="Times New Roman" w:cstheme="minorHAnsi"/>
          <w:b/>
          <w:sz w:val="20"/>
          <w:szCs w:val="20"/>
          <w:lang w:val="es-ES"/>
        </w:rPr>
        <w:t xml:space="preserve">odos los </w:t>
      </w:r>
      <w:r w:rsidR="00BB5078" w:rsidRPr="00F553AD">
        <w:rPr>
          <w:rFonts w:eastAsia="Times New Roman" w:cstheme="minorHAnsi"/>
          <w:b/>
          <w:sz w:val="20"/>
          <w:szCs w:val="20"/>
          <w:lang w:val="es-ES"/>
        </w:rPr>
        <w:t>C</w:t>
      </w:r>
      <w:r w:rsidRPr="00F553AD">
        <w:rPr>
          <w:rFonts w:eastAsia="Times New Roman" w:cstheme="minorHAnsi"/>
          <w:b/>
          <w:sz w:val="20"/>
          <w:szCs w:val="20"/>
          <w:lang w:val="es-ES"/>
        </w:rPr>
        <w:t xml:space="preserve">onsumidores vs </w:t>
      </w:r>
      <w:r w:rsidR="00BB5078" w:rsidRPr="00F553AD">
        <w:rPr>
          <w:rFonts w:eastAsia="Times New Roman" w:cstheme="minorHAnsi"/>
          <w:b/>
          <w:sz w:val="20"/>
          <w:szCs w:val="20"/>
          <w:lang w:val="es-ES"/>
        </w:rPr>
        <w:t>Co</w:t>
      </w:r>
      <w:r w:rsidRPr="00F553AD">
        <w:rPr>
          <w:rFonts w:eastAsia="Times New Roman" w:cstheme="minorHAnsi"/>
          <w:b/>
          <w:sz w:val="20"/>
          <w:szCs w:val="20"/>
          <w:lang w:val="es-ES"/>
        </w:rPr>
        <w:t xml:space="preserve">nsumidores con </w:t>
      </w:r>
      <w:r w:rsidR="00BB5078" w:rsidRPr="00F553AD">
        <w:rPr>
          <w:rFonts w:eastAsia="Times New Roman" w:cstheme="minorHAnsi"/>
          <w:b/>
          <w:sz w:val="20"/>
          <w:szCs w:val="20"/>
          <w:lang w:val="es-ES"/>
        </w:rPr>
        <w:t>A</w:t>
      </w:r>
      <w:r w:rsidRPr="00F553AD">
        <w:rPr>
          <w:rFonts w:eastAsia="Times New Roman" w:cstheme="minorHAnsi"/>
          <w:b/>
          <w:sz w:val="20"/>
          <w:szCs w:val="20"/>
          <w:lang w:val="es-ES"/>
        </w:rPr>
        <w:t>livios</w:t>
      </w:r>
      <w:r w:rsidR="00355A17" w:rsidRPr="00F553AD">
        <w:rPr>
          <w:rFonts w:eastAsia="Times New Roman" w:cstheme="minorHAnsi"/>
          <w:b/>
          <w:sz w:val="20"/>
          <w:szCs w:val="20"/>
          <w:lang w:val="es-ES"/>
        </w:rPr>
        <w:t xml:space="preserve"> </w:t>
      </w:r>
      <w:r w:rsidR="00BB5078" w:rsidRPr="00F553AD">
        <w:rPr>
          <w:rFonts w:eastAsia="Times New Roman" w:cstheme="minorHAnsi"/>
          <w:b/>
          <w:sz w:val="20"/>
          <w:szCs w:val="20"/>
          <w:lang w:val="es-ES"/>
        </w:rPr>
        <w:t>F</w:t>
      </w:r>
      <w:r w:rsidR="00355A17" w:rsidRPr="00F553AD">
        <w:rPr>
          <w:rFonts w:eastAsia="Times New Roman" w:cstheme="minorHAnsi"/>
          <w:b/>
          <w:sz w:val="20"/>
          <w:szCs w:val="20"/>
          <w:lang w:val="es-ES"/>
        </w:rPr>
        <w:t>inancieros</w:t>
      </w:r>
    </w:p>
    <w:tbl>
      <w:tblPr>
        <w:tblStyle w:val="Tablaconcuadrcula"/>
        <w:tblW w:w="5228" w:type="pct"/>
        <w:jc w:val="center"/>
        <w:tblLook w:val="04A0" w:firstRow="1" w:lastRow="0" w:firstColumn="1" w:lastColumn="0" w:noHBand="0" w:noVBand="1"/>
      </w:tblPr>
      <w:tblGrid>
        <w:gridCol w:w="2692"/>
        <w:gridCol w:w="961"/>
        <w:gridCol w:w="1168"/>
        <w:gridCol w:w="1655"/>
        <w:gridCol w:w="1657"/>
        <w:gridCol w:w="1649"/>
      </w:tblGrid>
      <w:tr w:rsidR="00BB5078" w:rsidRPr="00F553AD" w14:paraId="6D086244" w14:textId="77777777" w:rsidTr="000C353A">
        <w:trPr>
          <w:trHeight w:val="477"/>
          <w:jc w:val="center"/>
        </w:trPr>
        <w:tc>
          <w:tcPr>
            <w:tcW w:w="1376" w:type="pct"/>
            <w:tcBorders>
              <w:top w:val="nil"/>
              <w:left w:val="nil"/>
              <w:bottom w:val="single" w:sz="4" w:space="0" w:color="auto"/>
              <w:right w:val="single" w:sz="4" w:space="0" w:color="auto"/>
            </w:tcBorders>
            <w:vAlign w:val="center"/>
          </w:tcPr>
          <w:p w14:paraId="23F9487A" w14:textId="77777777" w:rsidR="00BB5078" w:rsidRPr="00F553AD" w:rsidRDefault="00BB5078" w:rsidP="00E05EA7">
            <w:pPr>
              <w:rPr>
                <w:rFonts w:asciiTheme="minorHAnsi" w:hAnsiTheme="minorHAnsi" w:cstheme="minorHAnsi"/>
                <w:b/>
                <w:color w:val="000000"/>
                <w:lang w:val="es-CO"/>
              </w:rPr>
            </w:pPr>
          </w:p>
        </w:tc>
        <w:tc>
          <w:tcPr>
            <w:tcW w:w="2780" w:type="pct"/>
            <w:gridSpan w:val="4"/>
            <w:tcBorders>
              <w:left w:val="single" w:sz="4" w:space="0" w:color="auto"/>
            </w:tcBorders>
            <w:vAlign w:val="center"/>
          </w:tcPr>
          <w:p w14:paraId="2D5E2D3D" w14:textId="11261BB5" w:rsidR="00BB5078" w:rsidRPr="00F553AD" w:rsidRDefault="00BB5078" w:rsidP="004D58C9">
            <w:pPr>
              <w:jc w:val="center"/>
              <w:rPr>
                <w:rFonts w:asciiTheme="minorHAnsi" w:hAnsiTheme="minorHAnsi" w:cstheme="minorHAnsi"/>
                <w:b/>
                <w:color w:val="000000"/>
                <w:lang w:val="es-CO"/>
              </w:rPr>
            </w:pPr>
            <w:r w:rsidRPr="00F553AD">
              <w:rPr>
                <w:rFonts w:asciiTheme="minorHAnsi" w:hAnsiTheme="minorHAnsi" w:cstheme="minorHAnsi"/>
                <w:b/>
                <w:color w:val="000000"/>
                <w:lang w:val="es-CO"/>
              </w:rPr>
              <w:t>Tasas de Morosidad 30+ a Nivel Consumidor – Todos los Consumidores</w:t>
            </w:r>
          </w:p>
        </w:tc>
        <w:tc>
          <w:tcPr>
            <w:tcW w:w="844" w:type="pct"/>
            <w:vAlign w:val="center"/>
          </w:tcPr>
          <w:p w14:paraId="10FA4A7D" w14:textId="38A2F14D" w:rsidR="00BB5078" w:rsidRPr="00F553AD" w:rsidRDefault="00BB5078">
            <w:pPr>
              <w:jc w:val="center"/>
              <w:rPr>
                <w:rFonts w:asciiTheme="minorHAnsi" w:hAnsiTheme="minorHAnsi" w:cstheme="minorHAnsi"/>
                <w:b/>
                <w:color w:val="000000"/>
                <w:lang w:val="es-CO"/>
              </w:rPr>
            </w:pPr>
            <w:r w:rsidRPr="00F553AD">
              <w:rPr>
                <w:rFonts w:asciiTheme="minorHAnsi" w:hAnsiTheme="minorHAnsi" w:cstheme="minorHAnsi"/>
                <w:b/>
                <w:color w:val="000000"/>
                <w:lang w:val="es-CO"/>
              </w:rPr>
              <w:t>Tasas de Morosidad 30+ a Nivel Consumidor – Consumidores con Alivios</w:t>
            </w:r>
          </w:p>
        </w:tc>
      </w:tr>
      <w:tr w:rsidR="00BB5078" w:rsidRPr="00F553AD" w14:paraId="73302F7F" w14:textId="77777777" w:rsidTr="000C353A">
        <w:trPr>
          <w:trHeight w:val="477"/>
          <w:jc w:val="center"/>
        </w:trPr>
        <w:tc>
          <w:tcPr>
            <w:tcW w:w="1376" w:type="pct"/>
            <w:tcBorders>
              <w:top w:val="single" w:sz="4" w:space="0" w:color="auto"/>
            </w:tcBorders>
            <w:shd w:val="clear" w:color="auto" w:fill="7F7F7F" w:themeFill="text1" w:themeFillTint="80"/>
            <w:vAlign w:val="center"/>
            <w:hideMark/>
          </w:tcPr>
          <w:p w14:paraId="75AEC821" w14:textId="382D141A" w:rsidR="00BB5078" w:rsidRPr="00F553AD" w:rsidRDefault="00BB5078" w:rsidP="004D58C9">
            <w:pPr>
              <w:jc w:val="center"/>
              <w:rPr>
                <w:rFonts w:asciiTheme="minorHAnsi" w:hAnsiTheme="minorHAnsi" w:cstheme="minorHAnsi"/>
                <w:b/>
                <w:color w:val="FFFFFF" w:themeColor="background1"/>
              </w:rPr>
            </w:pPr>
            <w:proofErr w:type="spellStart"/>
            <w:r w:rsidRPr="00F553AD">
              <w:rPr>
                <w:rFonts w:asciiTheme="minorHAnsi" w:hAnsiTheme="minorHAnsi" w:cstheme="minorHAnsi"/>
                <w:b/>
                <w:color w:val="FFFFFF" w:themeColor="background1"/>
              </w:rPr>
              <w:t>Producto</w:t>
            </w:r>
            <w:proofErr w:type="spellEnd"/>
            <w:r w:rsidRPr="00F553AD">
              <w:rPr>
                <w:rFonts w:asciiTheme="minorHAnsi" w:hAnsiTheme="minorHAnsi" w:cstheme="minorHAnsi"/>
                <w:b/>
                <w:color w:val="FFFFFF" w:themeColor="background1"/>
              </w:rPr>
              <w:t xml:space="preserve"> de </w:t>
            </w:r>
            <w:proofErr w:type="spellStart"/>
            <w:r w:rsidRPr="00F553AD">
              <w:rPr>
                <w:rFonts w:asciiTheme="minorHAnsi" w:hAnsiTheme="minorHAnsi" w:cstheme="minorHAnsi"/>
                <w:b/>
                <w:color w:val="FFFFFF" w:themeColor="background1"/>
              </w:rPr>
              <w:t>Crédito</w:t>
            </w:r>
            <w:proofErr w:type="spellEnd"/>
          </w:p>
        </w:tc>
        <w:tc>
          <w:tcPr>
            <w:tcW w:w="491" w:type="pct"/>
            <w:shd w:val="clear" w:color="auto" w:fill="7F7F7F" w:themeFill="text1" w:themeFillTint="80"/>
            <w:vAlign w:val="center"/>
            <w:hideMark/>
          </w:tcPr>
          <w:p w14:paraId="4D409CE3" w14:textId="47552583" w:rsidR="00BB5078" w:rsidRPr="00F553AD" w:rsidRDefault="00BB5078">
            <w:pPr>
              <w:jc w:val="center"/>
              <w:rPr>
                <w:rFonts w:asciiTheme="minorHAnsi" w:hAnsiTheme="minorHAnsi" w:cstheme="minorHAnsi"/>
                <w:b/>
                <w:color w:val="FFFFFF" w:themeColor="background1"/>
              </w:rPr>
            </w:pPr>
            <w:proofErr w:type="spellStart"/>
            <w:r w:rsidRPr="00F553AD">
              <w:rPr>
                <w:rFonts w:asciiTheme="minorHAnsi" w:hAnsiTheme="minorHAnsi" w:cstheme="minorHAnsi"/>
                <w:b/>
                <w:color w:val="FFFFFF" w:themeColor="background1"/>
              </w:rPr>
              <w:t>Febrero</w:t>
            </w:r>
            <w:proofErr w:type="spellEnd"/>
            <w:r w:rsidRPr="00F553AD">
              <w:rPr>
                <w:rFonts w:asciiTheme="minorHAnsi" w:hAnsiTheme="minorHAnsi" w:cstheme="minorHAnsi"/>
                <w:b/>
                <w:color w:val="FFFFFF" w:themeColor="background1"/>
              </w:rPr>
              <w:t xml:space="preserve"> 2020</w:t>
            </w:r>
          </w:p>
        </w:tc>
        <w:tc>
          <w:tcPr>
            <w:tcW w:w="597" w:type="pct"/>
            <w:shd w:val="clear" w:color="auto" w:fill="7F7F7F" w:themeFill="text1" w:themeFillTint="80"/>
            <w:vAlign w:val="center"/>
          </w:tcPr>
          <w:p w14:paraId="42CF96E4" w14:textId="2AC58158" w:rsidR="00BB5078" w:rsidRPr="00F553AD" w:rsidRDefault="00BB5078" w:rsidP="00E05EA7">
            <w:pPr>
              <w:jc w:val="center"/>
              <w:rPr>
                <w:rFonts w:asciiTheme="minorHAnsi" w:hAnsiTheme="minorHAnsi" w:cstheme="minorHAnsi"/>
                <w:b/>
                <w:color w:val="FFFFFF" w:themeColor="background1"/>
              </w:rPr>
            </w:pPr>
            <w:r w:rsidRPr="00F553AD">
              <w:rPr>
                <w:rFonts w:asciiTheme="minorHAnsi" w:hAnsiTheme="minorHAnsi" w:cstheme="minorHAnsi"/>
                <w:b/>
                <w:color w:val="FFFFFF" w:themeColor="background1"/>
              </w:rPr>
              <w:t>Junio 2020</w:t>
            </w:r>
          </w:p>
        </w:tc>
        <w:tc>
          <w:tcPr>
            <w:tcW w:w="846" w:type="pct"/>
            <w:shd w:val="clear" w:color="auto" w:fill="7F7F7F" w:themeFill="text1" w:themeFillTint="80"/>
            <w:vAlign w:val="center"/>
          </w:tcPr>
          <w:p w14:paraId="30DC8E48" w14:textId="61B92E6D" w:rsidR="00BB5078" w:rsidRPr="00F553AD" w:rsidRDefault="00BB5078" w:rsidP="004D58C9">
            <w:pPr>
              <w:jc w:val="center"/>
              <w:rPr>
                <w:rFonts w:asciiTheme="minorHAnsi" w:hAnsiTheme="minorHAnsi" w:cstheme="minorHAnsi"/>
                <w:b/>
                <w:color w:val="FFFFFF" w:themeColor="background1"/>
              </w:rPr>
            </w:pPr>
            <w:proofErr w:type="spellStart"/>
            <w:r w:rsidRPr="00F553AD">
              <w:rPr>
                <w:rFonts w:asciiTheme="minorHAnsi" w:hAnsiTheme="minorHAnsi" w:cstheme="minorHAnsi"/>
                <w:b/>
                <w:color w:val="FFFFFF" w:themeColor="background1"/>
              </w:rPr>
              <w:t>Septiembre</w:t>
            </w:r>
            <w:proofErr w:type="spellEnd"/>
            <w:r w:rsidRPr="00F553AD">
              <w:rPr>
                <w:rFonts w:asciiTheme="minorHAnsi" w:hAnsiTheme="minorHAnsi" w:cstheme="minorHAnsi"/>
                <w:b/>
                <w:color w:val="FFFFFF" w:themeColor="background1"/>
              </w:rPr>
              <w:t xml:space="preserve"> 2020</w:t>
            </w:r>
          </w:p>
        </w:tc>
        <w:tc>
          <w:tcPr>
            <w:tcW w:w="847" w:type="pct"/>
            <w:shd w:val="clear" w:color="auto" w:fill="7F7F7F" w:themeFill="text1" w:themeFillTint="80"/>
            <w:vAlign w:val="center"/>
          </w:tcPr>
          <w:p w14:paraId="184B37C0" w14:textId="555CB30E" w:rsidR="00BB5078" w:rsidRPr="00F553AD" w:rsidRDefault="00BB5078">
            <w:pPr>
              <w:jc w:val="center"/>
              <w:rPr>
                <w:rFonts w:asciiTheme="minorHAnsi" w:hAnsiTheme="minorHAnsi" w:cstheme="minorHAnsi"/>
                <w:b/>
                <w:color w:val="FFFFFF" w:themeColor="background1"/>
              </w:rPr>
            </w:pPr>
            <w:proofErr w:type="spellStart"/>
            <w:r w:rsidRPr="00F553AD">
              <w:rPr>
                <w:rFonts w:asciiTheme="minorHAnsi" w:hAnsiTheme="minorHAnsi" w:cstheme="minorHAnsi"/>
                <w:b/>
                <w:color w:val="FFFFFF" w:themeColor="background1"/>
              </w:rPr>
              <w:t>Diciembre</w:t>
            </w:r>
            <w:proofErr w:type="spellEnd"/>
            <w:r w:rsidRPr="00F553AD">
              <w:rPr>
                <w:rFonts w:asciiTheme="minorHAnsi" w:hAnsiTheme="minorHAnsi" w:cstheme="minorHAnsi"/>
                <w:b/>
                <w:color w:val="FFFFFF" w:themeColor="background1"/>
              </w:rPr>
              <w:t xml:space="preserve"> 2020</w:t>
            </w:r>
          </w:p>
        </w:tc>
        <w:tc>
          <w:tcPr>
            <w:tcW w:w="844" w:type="pct"/>
            <w:shd w:val="clear" w:color="auto" w:fill="7F7F7F" w:themeFill="text1" w:themeFillTint="80"/>
            <w:vAlign w:val="center"/>
          </w:tcPr>
          <w:p w14:paraId="18A68131" w14:textId="38BACBD9" w:rsidR="00BB5078" w:rsidRPr="00F553AD" w:rsidRDefault="00BB5078" w:rsidP="00E05EA7">
            <w:pPr>
              <w:jc w:val="center"/>
              <w:rPr>
                <w:rFonts w:asciiTheme="minorHAnsi" w:hAnsiTheme="minorHAnsi" w:cstheme="minorHAnsi"/>
                <w:b/>
                <w:color w:val="FFFFFF" w:themeColor="background1"/>
              </w:rPr>
            </w:pPr>
            <w:proofErr w:type="spellStart"/>
            <w:r w:rsidRPr="00F553AD">
              <w:rPr>
                <w:rFonts w:asciiTheme="minorHAnsi" w:hAnsiTheme="minorHAnsi" w:cstheme="minorHAnsi"/>
                <w:b/>
                <w:color w:val="FFFFFF" w:themeColor="background1"/>
              </w:rPr>
              <w:t>Diciembre</w:t>
            </w:r>
            <w:proofErr w:type="spellEnd"/>
            <w:r w:rsidRPr="00F553AD">
              <w:rPr>
                <w:rFonts w:asciiTheme="minorHAnsi" w:hAnsiTheme="minorHAnsi" w:cstheme="minorHAnsi"/>
                <w:b/>
                <w:color w:val="FFFFFF" w:themeColor="background1"/>
              </w:rPr>
              <w:t xml:space="preserve"> </w:t>
            </w:r>
          </w:p>
          <w:p w14:paraId="46B6F05E" w14:textId="77777777" w:rsidR="00BB5078" w:rsidRPr="00F553AD" w:rsidRDefault="00BB5078" w:rsidP="00E05EA7">
            <w:pPr>
              <w:jc w:val="center"/>
              <w:rPr>
                <w:rFonts w:asciiTheme="minorHAnsi" w:hAnsiTheme="minorHAnsi" w:cstheme="minorHAnsi"/>
                <w:b/>
                <w:color w:val="FFFFFF" w:themeColor="background1"/>
              </w:rPr>
            </w:pPr>
            <w:r w:rsidRPr="00F553AD">
              <w:rPr>
                <w:rFonts w:asciiTheme="minorHAnsi" w:hAnsiTheme="minorHAnsi" w:cstheme="minorHAnsi"/>
                <w:b/>
                <w:color w:val="FFFFFF" w:themeColor="background1"/>
              </w:rPr>
              <w:t>2020</w:t>
            </w:r>
          </w:p>
        </w:tc>
      </w:tr>
      <w:tr w:rsidR="00BB5078" w:rsidRPr="00F553AD" w14:paraId="6A73EAD7" w14:textId="77777777" w:rsidTr="000C353A">
        <w:trPr>
          <w:trHeight w:hRule="exact" w:val="256"/>
          <w:jc w:val="center"/>
        </w:trPr>
        <w:tc>
          <w:tcPr>
            <w:tcW w:w="1376" w:type="pct"/>
            <w:vAlign w:val="center"/>
            <w:hideMark/>
          </w:tcPr>
          <w:p w14:paraId="1A9B03D0" w14:textId="68E59263" w:rsidR="00BB5078" w:rsidRPr="00F553AD" w:rsidRDefault="00BB5078" w:rsidP="00E05EA7">
            <w:pPr>
              <w:jc w:val="center"/>
              <w:rPr>
                <w:rFonts w:asciiTheme="minorHAnsi" w:hAnsiTheme="minorHAnsi" w:cstheme="minorHAnsi"/>
                <w:b/>
                <w:color w:val="000000"/>
              </w:rPr>
            </w:pPr>
            <w:proofErr w:type="spellStart"/>
            <w:r w:rsidRPr="00F553AD">
              <w:rPr>
                <w:rFonts w:asciiTheme="minorHAnsi" w:hAnsiTheme="minorHAnsi" w:cstheme="minorHAnsi"/>
                <w:b/>
                <w:color w:val="000000"/>
              </w:rPr>
              <w:t>Tarjeta</w:t>
            </w:r>
            <w:proofErr w:type="spellEnd"/>
            <w:r w:rsidRPr="00F553AD">
              <w:rPr>
                <w:rFonts w:asciiTheme="minorHAnsi" w:hAnsiTheme="minorHAnsi" w:cstheme="minorHAnsi"/>
                <w:b/>
                <w:color w:val="000000"/>
              </w:rPr>
              <w:t xml:space="preserve"> de </w:t>
            </w:r>
            <w:proofErr w:type="spellStart"/>
            <w:r w:rsidRPr="00F553AD">
              <w:rPr>
                <w:rFonts w:asciiTheme="minorHAnsi" w:hAnsiTheme="minorHAnsi" w:cstheme="minorHAnsi"/>
                <w:b/>
                <w:color w:val="000000"/>
              </w:rPr>
              <w:t>Crédito</w:t>
            </w:r>
            <w:proofErr w:type="spellEnd"/>
          </w:p>
        </w:tc>
        <w:tc>
          <w:tcPr>
            <w:tcW w:w="491" w:type="pct"/>
            <w:vAlign w:val="center"/>
            <w:hideMark/>
          </w:tcPr>
          <w:p w14:paraId="47EE12F6" w14:textId="77777777" w:rsidR="00BB5078" w:rsidRPr="00F553AD" w:rsidRDefault="00BB5078" w:rsidP="00E05EA7">
            <w:pPr>
              <w:spacing w:before="100" w:beforeAutospacing="1" w:after="100" w:afterAutospacing="1"/>
              <w:jc w:val="center"/>
              <w:rPr>
                <w:rFonts w:asciiTheme="minorHAnsi" w:hAnsiTheme="minorHAnsi" w:cstheme="minorHAnsi"/>
                <w:b/>
                <w:lang w:eastAsia="es-CO"/>
              </w:rPr>
            </w:pPr>
            <w:r w:rsidRPr="00F553AD">
              <w:rPr>
                <w:rFonts w:asciiTheme="minorHAnsi" w:hAnsiTheme="minorHAnsi" w:cstheme="minorHAnsi"/>
                <w:b/>
              </w:rPr>
              <w:t>8,29%</w:t>
            </w:r>
          </w:p>
        </w:tc>
        <w:tc>
          <w:tcPr>
            <w:tcW w:w="597" w:type="pct"/>
            <w:vAlign w:val="center"/>
          </w:tcPr>
          <w:p w14:paraId="135A3D63" w14:textId="77777777" w:rsidR="00BB5078" w:rsidRPr="00F553AD" w:rsidRDefault="00BB5078" w:rsidP="00E05EA7">
            <w:pPr>
              <w:spacing w:before="100" w:beforeAutospacing="1" w:after="100" w:afterAutospacing="1"/>
              <w:jc w:val="center"/>
              <w:rPr>
                <w:rFonts w:asciiTheme="minorHAnsi" w:hAnsiTheme="minorHAnsi" w:cstheme="minorHAnsi"/>
                <w:b/>
                <w:lang w:eastAsia="es-CO"/>
              </w:rPr>
            </w:pPr>
            <w:r w:rsidRPr="00F553AD">
              <w:rPr>
                <w:rFonts w:asciiTheme="minorHAnsi" w:hAnsiTheme="minorHAnsi" w:cstheme="minorHAnsi"/>
                <w:b/>
              </w:rPr>
              <w:t>8,23%</w:t>
            </w:r>
          </w:p>
        </w:tc>
        <w:tc>
          <w:tcPr>
            <w:tcW w:w="846" w:type="pct"/>
            <w:vAlign w:val="center"/>
          </w:tcPr>
          <w:p w14:paraId="07F1C686" w14:textId="77777777" w:rsidR="00BB5078" w:rsidRPr="00F553AD" w:rsidRDefault="00BB5078" w:rsidP="00E05EA7">
            <w:pPr>
              <w:spacing w:before="100" w:beforeAutospacing="1" w:after="100" w:afterAutospacing="1"/>
              <w:jc w:val="center"/>
              <w:rPr>
                <w:rFonts w:asciiTheme="minorHAnsi" w:hAnsiTheme="minorHAnsi" w:cstheme="minorHAnsi"/>
                <w:b/>
              </w:rPr>
            </w:pPr>
            <w:r w:rsidRPr="00F553AD">
              <w:rPr>
                <w:rFonts w:asciiTheme="minorHAnsi" w:hAnsiTheme="minorHAnsi" w:cstheme="minorHAnsi"/>
                <w:b/>
              </w:rPr>
              <w:t>6,47%</w:t>
            </w:r>
          </w:p>
        </w:tc>
        <w:tc>
          <w:tcPr>
            <w:tcW w:w="847" w:type="pct"/>
            <w:vAlign w:val="center"/>
          </w:tcPr>
          <w:p w14:paraId="6159C810" w14:textId="77777777" w:rsidR="00BB5078" w:rsidRPr="00F553AD" w:rsidRDefault="00BB5078" w:rsidP="00E05EA7">
            <w:pPr>
              <w:spacing w:before="100" w:beforeAutospacing="1" w:after="100" w:afterAutospacing="1"/>
              <w:jc w:val="center"/>
              <w:rPr>
                <w:rFonts w:asciiTheme="minorHAnsi" w:hAnsiTheme="minorHAnsi" w:cstheme="minorHAnsi"/>
                <w:b/>
              </w:rPr>
            </w:pPr>
            <w:r w:rsidRPr="00F553AD">
              <w:rPr>
                <w:rFonts w:asciiTheme="minorHAnsi" w:hAnsiTheme="minorHAnsi" w:cstheme="minorHAnsi"/>
                <w:b/>
              </w:rPr>
              <w:t>11,04%</w:t>
            </w:r>
          </w:p>
        </w:tc>
        <w:tc>
          <w:tcPr>
            <w:tcW w:w="844" w:type="pct"/>
          </w:tcPr>
          <w:p w14:paraId="4C5CEF4B" w14:textId="77777777" w:rsidR="00BB5078" w:rsidRPr="00F553AD" w:rsidRDefault="00BB5078" w:rsidP="00E05EA7">
            <w:pPr>
              <w:spacing w:before="100" w:beforeAutospacing="1" w:after="100" w:afterAutospacing="1"/>
              <w:jc w:val="center"/>
              <w:rPr>
                <w:rFonts w:asciiTheme="minorHAnsi" w:hAnsiTheme="minorHAnsi" w:cstheme="minorHAnsi"/>
                <w:b/>
                <w:highlight w:val="yellow"/>
              </w:rPr>
            </w:pPr>
            <w:r w:rsidRPr="00F553AD">
              <w:rPr>
                <w:rFonts w:asciiTheme="minorHAnsi" w:hAnsiTheme="minorHAnsi" w:cstheme="minorHAnsi"/>
                <w:b/>
              </w:rPr>
              <w:t>30,64%</w:t>
            </w:r>
          </w:p>
          <w:p w14:paraId="2454F627" w14:textId="77777777" w:rsidR="00BB5078" w:rsidRPr="00F553AD" w:rsidRDefault="00BB5078" w:rsidP="00E05EA7">
            <w:pPr>
              <w:spacing w:before="100" w:beforeAutospacing="1" w:after="100" w:afterAutospacing="1"/>
              <w:jc w:val="center"/>
              <w:rPr>
                <w:rFonts w:asciiTheme="minorHAnsi" w:hAnsiTheme="minorHAnsi" w:cstheme="minorHAnsi"/>
                <w:b/>
              </w:rPr>
            </w:pPr>
          </w:p>
        </w:tc>
      </w:tr>
      <w:tr w:rsidR="00BB5078" w:rsidRPr="00F553AD" w14:paraId="3B92B470" w14:textId="77777777" w:rsidTr="000C353A">
        <w:trPr>
          <w:trHeight w:hRule="exact" w:val="256"/>
          <w:jc w:val="center"/>
        </w:trPr>
        <w:tc>
          <w:tcPr>
            <w:tcW w:w="1376" w:type="pct"/>
            <w:vAlign w:val="center"/>
          </w:tcPr>
          <w:p w14:paraId="7C052E8A" w14:textId="404BBB9E" w:rsidR="00BB5078" w:rsidRPr="00F553AD" w:rsidRDefault="00BB5078" w:rsidP="004D58C9">
            <w:pPr>
              <w:jc w:val="center"/>
              <w:rPr>
                <w:rFonts w:asciiTheme="minorHAnsi" w:hAnsiTheme="minorHAnsi" w:cstheme="minorHAnsi"/>
                <w:b/>
                <w:color w:val="000000"/>
                <w:lang w:val="es-CO" w:eastAsia="es-CO"/>
              </w:rPr>
            </w:pPr>
            <w:r w:rsidRPr="00F553AD">
              <w:rPr>
                <w:rFonts w:asciiTheme="minorHAnsi" w:hAnsiTheme="minorHAnsi" w:cstheme="minorHAnsi"/>
                <w:b/>
                <w:color w:val="000000"/>
                <w:lang w:val="es-CO" w:eastAsia="es-CO"/>
              </w:rPr>
              <w:t>Libre Inversión</w:t>
            </w:r>
          </w:p>
        </w:tc>
        <w:tc>
          <w:tcPr>
            <w:tcW w:w="491" w:type="pct"/>
            <w:vAlign w:val="center"/>
            <w:hideMark/>
          </w:tcPr>
          <w:p w14:paraId="6DD76EAC" w14:textId="77777777" w:rsidR="00BB5078" w:rsidRPr="00F553AD" w:rsidRDefault="00BB5078" w:rsidP="00E05EA7">
            <w:pPr>
              <w:jc w:val="center"/>
              <w:rPr>
                <w:rFonts w:asciiTheme="minorHAnsi" w:hAnsiTheme="minorHAnsi" w:cstheme="minorHAnsi"/>
                <w:b/>
              </w:rPr>
            </w:pPr>
            <w:r w:rsidRPr="00F553AD">
              <w:rPr>
                <w:rFonts w:asciiTheme="minorHAnsi" w:hAnsiTheme="minorHAnsi" w:cstheme="minorHAnsi"/>
                <w:b/>
              </w:rPr>
              <w:t>8,22%</w:t>
            </w:r>
          </w:p>
        </w:tc>
        <w:tc>
          <w:tcPr>
            <w:tcW w:w="597" w:type="pct"/>
            <w:vAlign w:val="center"/>
          </w:tcPr>
          <w:p w14:paraId="7CBDB723" w14:textId="77777777" w:rsidR="00BB5078" w:rsidRPr="00F553AD" w:rsidRDefault="00BB5078" w:rsidP="00E05EA7">
            <w:pPr>
              <w:spacing w:before="100" w:beforeAutospacing="1" w:after="100" w:afterAutospacing="1"/>
              <w:jc w:val="center"/>
              <w:rPr>
                <w:rFonts w:asciiTheme="minorHAnsi" w:hAnsiTheme="minorHAnsi" w:cstheme="minorHAnsi"/>
                <w:b/>
              </w:rPr>
            </w:pPr>
            <w:r w:rsidRPr="00F553AD">
              <w:rPr>
                <w:rFonts w:asciiTheme="minorHAnsi" w:hAnsiTheme="minorHAnsi" w:cstheme="minorHAnsi"/>
                <w:b/>
              </w:rPr>
              <w:t>6,81%</w:t>
            </w:r>
          </w:p>
        </w:tc>
        <w:tc>
          <w:tcPr>
            <w:tcW w:w="846" w:type="pct"/>
            <w:vAlign w:val="center"/>
          </w:tcPr>
          <w:p w14:paraId="1527C742" w14:textId="77777777" w:rsidR="00BB5078" w:rsidRPr="00F553AD" w:rsidRDefault="00BB5078" w:rsidP="00E05EA7">
            <w:pPr>
              <w:spacing w:before="100" w:beforeAutospacing="1" w:after="100" w:afterAutospacing="1"/>
              <w:jc w:val="center"/>
              <w:rPr>
                <w:rFonts w:asciiTheme="minorHAnsi" w:hAnsiTheme="minorHAnsi" w:cstheme="minorHAnsi"/>
                <w:b/>
              </w:rPr>
            </w:pPr>
            <w:r w:rsidRPr="00F553AD">
              <w:rPr>
                <w:rFonts w:asciiTheme="minorHAnsi" w:hAnsiTheme="minorHAnsi" w:cstheme="minorHAnsi"/>
                <w:b/>
              </w:rPr>
              <w:t>6,78%</w:t>
            </w:r>
          </w:p>
        </w:tc>
        <w:tc>
          <w:tcPr>
            <w:tcW w:w="847" w:type="pct"/>
            <w:vAlign w:val="center"/>
          </w:tcPr>
          <w:p w14:paraId="3213E719" w14:textId="77777777" w:rsidR="00BB5078" w:rsidRPr="00F553AD" w:rsidRDefault="00BB5078" w:rsidP="00E05EA7">
            <w:pPr>
              <w:spacing w:before="100" w:beforeAutospacing="1" w:after="100" w:afterAutospacing="1"/>
              <w:jc w:val="center"/>
              <w:rPr>
                <w:rFonts w:asciiTheme="minorHAnsi" w:hAnsiTheme="minorHAnsi" w:cstheme="minorHAnsi"/>
                <w:b/>
              </w:rPr>
            </w:pPr>
            <w:r w:rsidRPr="00F553AD">
              <w:rPr>
                <w:rFonts w:asciiTheme="minorHAnsi" w:hAnsiTheme="minorHAnsi" w:cstheme="minorHAnsi"/>
                <w:b/>
              </w:rPr>
              <w:t>11,05%</w:t>
            </w:r>
          </w:p>
        </w:tc>
        <w:tc>
          <w:tcPr>
            <w:tcW w:w="844" w:type="pct"/>
          </w:tcPr>
          <w:p w14:paraId="409585CB" w14:textId="77777777" w:rsidR="00BB5078" w:rsidRPr="00F553AD" w:rsidRDefault="00BB5078" w:rsidP="00E05EA7">
            <w:pPr>
              <w:spacing w:before="100" w:beforeAutospacing="1" w:after="100" w:afterAutospacing="1"/>
              <w:jc w:val="center"/>
              <w:rPr>
                <w:rFonts w:asciiTheme="minorHAnsi" w:hAnsiTheme="minorHAnsi" w:cstheme="minorHAnsi"/>
                <w:b/>
                <w:highlight w:val="yellow"/>
              </w:rPr>
            </w:pPr>
            <w:r w:rsidRPr="00F553AD">
              <w:rPr>
                <w:rFonts w:asciiTheme="minorHAnsi" w:hAnsiTheme="minorHAnsi" w:cstheme="minorHAnsi"/>
                <w:b/>
              </w:rPr>
              <w:t>16,82%</w:t>
            </w:r>
          </w:p>
          <w:p w14:paraId="433AA32C" w14:textId="77777777" w:rsidR="00BB5078" w:rsidRPr="00F553AD" w:rsidRDefault="00BB5078" w:rsidP="00E05EA7">
            <w:pPr>
              <w:spacing w:before="100" w:beforeAutospacing="1" w:after="100" w:afterAutospacing="1"/>
              <w:jc w:val="center"/>
              <w:rPr>
                <w:rFonts w:asciiTheme="minorHAnsi" w:hAnsiTheme="minorHAnsi" w:cstheme="minorHAnsi"/>
                <w:b/>
              </w:rPr>
            </w:pPr>
          </w:p>
        </w:tc>
      </w:tr>
    </w:tbl>
    <w:p w14:paraId="238D7F27" w14:textId="77FE296F" w:rsidR="00F7188C" w:rsidRPr="00F553AD" w:rsidRDefault="00F7188C" w:rsidP="00FC6A91">
      <w:pPr>
        <w:spacing w:after="0" w:line="240" w:lineRule="auto"/>
        <w:jc w:val="both"/>
        <w:rPr>
          <w:rFonts w:eastAsia="Times New Roman" w:cstheme="minorHAnsi"/>
          <w:b/>
          <w:bCs/>
          <w:sz w:val="20"/>
          <w:szCs w:val="20"/>
          <w:lang w:val="es-ES"/>
        </w:rPr>
      </w:pPr>
    </w:p>
    <w:p w14:paraId="304B02AA" w14:textId="77777777" w:rsidR="00E92FA8" w:rsidRPr="00F553AD" w:rsidRDefault="00E92FA8" w:rsidP="00E92FA8">
      <w:pPr>
        <w:spacing w:before="180" w:after="240" w:line="240" w:lineRule="auto"/>
        <w:jc w:val="both"/>
        <w:rPr>
          <w:rFonts w:eastAsia="Times New Roman" w:cstheme="minorHAnsi"/>
          <w:bCs/>
          <w:sz w:val="24"/>
          <w:szCs w:val="24"/>
          <w:lang w:val="es-ES"/>
        </w:rPr>
      </w:pPr>
      <w:r w:rsidRPr="00F553AD">
        <w:rPr>
          <w:rFonts w:eastAsia="Times New Roman" w:cstheme="minorHAnsi"/>
          <w:bCs/>
          <w:i/>
          <w:iCs/>
          <w:sz w:val="24"/>
          <w:szCs w:val="24"/>
          <w:lang w:val="es-ES"/>
        </w:rPr>
        <w:t>"A medida que los alivios financieros han terminado para muchos consumidores, estamos viendo un deterioro en el desempeño del crédito. Para manejar este aumento en el riesgo, las entidades pueden utilizar datos mejorados para predecir y segmentar mejor a los consumidores que probablemente tengan un mejor o peor desempeño luego de finalizado un alivio financiero</w:t>
      </w:r>
      <w:r w:rsidRPr="00F553AD">
        <w:rPr>
          <w:rFonts w:eastAsia="Times New Roman" w:cstheme="minorHAnsi"/>
          <w:bCs/>
          <w:sz w:val="24"/>
          <w:szCs w:val="24"/>
          <w:lang w:val="es-ES"/>
        </w:rPr>
        <w:t xml:space="preserve">", concluyó Olivella. </w:t>
      </w:r>
      <w:r w:rsidRPr="00F553AD">
        <w:rPr>
          <w:rFonts w:eastAsia="Times New Roman" w:cstheme="minorHAnsi"/>
          <w:bCs/>
          <w:i/>
          <w:iCs/>
          <w:sz w:val="24"/>
          <w:szCs w:val="24"/>
          <w:lang w:val="es-ES"/>
        </w:rPr>
        <w:t>"Esto se vuelve especialmente relevante a medida que la segunda y la tercera ola de alivios financieros finaliza a mediados de 2021. Las entidades financieras tendrán que adoptar mejores estrategias para abordar el deterioro en comportamiento, así como para identificar a los consumidores con dificultades que podrían necesitar ayuda adicional, mientras administran las oportunidades de crecimiento en consumidores resilientes. Si bien hay muchos desafíos en el mercado crediticio en este momento, también estamos viendo una recuperación en el consumo privado desde los mínimos observados en el segundo trimestre de 2020, con un gasto privado en el primer trimestre de 2021 un 1.0% por encima de los niveles pre-crisis observados en el primer trimestre de 2020. Esto podría respaldar un repunte en la demanda de crédito en trimestres futuros."</w:t>
      </w:r>
    </w:p>
    <w:p w14:paraId="5CFE45D6" w14:textId="77777777" w:rsidR="00BB5078" w:rsidRPr="00F553AD" w:rsidRDefault="00BB5078" w:rsidP="00FC6A91">
      <w:pPr>
        <w:spacing w:after="0" w:line="240" w:lineRule="auto"/>
        <w:jc w:val="both"/>
        <w:rPr>
          <w:rFonts w:eastAsia="Times New Roman" w:cstheme="minorHAnsi"/>
          <w:b/>
          <w:bCs/>
          <w:sz w:val="20"/>
          <w:szCs w:val="20"/>
          <w:lang w:val="es-ES"/>
        </w:rPr>
      </w:pPr>
    </w:p>
    <w:p w14:paraId="2C3D55ED" w14:textId="6093DCE1" w:rsidR="008E2B3F" w:rsidRPr="00F553AD" w:rsidRDefault="008E2B3F" w:rsidP="00FC6A91">
      <w:pPr>
        <w:spacing w:after="0" w:line="240" w:lineRule="auto"/>
        <w:jc w:val="both"/>
        <w:rPr>
          <w:rFonts w:eastAsia="Times New Roman" w:cstheme="minorHAnsi"/>
          <w:b/>
          <w:bCs/>
          <w:sz w:val="20"/>
          <w:szCs w:val="20"/>
          <w:lang w:val="es-ES"/>
        </w:rPr>
      </w:pPr>
      <w:r w:rsidRPr="00F553AD">
        <w:rPr>
          <w:rFonts w:eastAsia="Times New Roman" w:cstheme="minorHAnsi"/>
          <w:b/>
          <w:bCs/>
          <w:sz w:val="20"/>
          <w:szCs w:val="20"/>
          <w:lang w:val="es-ES"/>
        </w:rPr>
        <w:t>Acerca de TransUnion (NYSE: TRU)</w:t>
      </w:r>
    </w:p>
    <w:p w14:paraId="48162DB4" w14:textId="77777777" w:rsidR="008E2B3F" w:rsidRPr="00F553AD" w:rsidRDefault="008E2B3F" w:rsidP="00FC6A91">
      <w:pPr>
        <w:spacing w:after="0" w:line="240" w:lineRule="auto"/>
        <w:jc w:val="both"/>
        <w:rPr>
          <w:rFonts w:eastAsia="Times New Roman" w:cstheme="minorHAnsi"/>
          <w:sz w:val="20"/>
          <w:szCs w:val="20"/>
          <w:lang w:val="es-ES"/>
        </w:rPr>
      </w:pPr>
      <w:r w:rsidRPr="00F553AD">
        <w:rPr>
          <w:rFonts w:eastAsia="Times New Roman" w:cstheme="minorHAnsi"/>
          <w:sz w:val="20"/>
          <w:szCs w:val="20"/>
          <w:lang w:val="es-ES"/>
        </w:rPr>
        <w:t>TransUnion es una compañía global de soluciones de información y conocimiento que contribuye a generar confianza entre entidades y consumidores en la economía moderna. Logramos esto al proporcionar una imagen completa de cada persona para que pueda ser representada de manera confiable y segura en el mercado. Como resultado, las empresas y los consumidores pueden realizar transacciones con confianza y lograr grandes cosas. A esto lo llamamos Información para el Bien.</w:t>
      </w:r>
    </w:p>
    <w:p w14:paraId="15E42C9B" w14:textId="77777777" w:rsidR="008E2B3F" w:rsidRPr="00F553AD" w:rsidRDefault="008E2B3F" w:rsidP="00FC6A91">
      <w:pPr>
        <w:spacing w:after="0" w:line="240" w:lineRule="auto"/>
        <w:jc w:val="both"/>
        <w:rPr>
          <w:rFonts w:eastAsia="Times New Roman" w:cstheme="minorHAnsi"/>
          <w:sz w:val="20"/>
          <w:szCs w:val="20"/>
          <w:lang w:val="es-ES"/>
        </w:rPr>
      </w:pPr>
    </w:p>
    <w:p w14:paraId="4907E7A7" w14:textId="4958D1E9" w:rsidR="008E2B3F" w:rsidRPr="00F553AD" w:rsidRDefault="008E2B3F" w:rsidP="00FC6A91">
      <w:pPr>
        <w:spacing w:after="0" w:line="240" w:lineRule="auto"/>
        <w:jc w:val="both"/>
        <w:rPr>
          <w:rFonts w:eastAsia="Times New Roman" w:cstheme="minorHAnsi"/>
          <w:sz w:val="20"/>
          <w:szCs w:val="20"/>
          <w:lang w:val="es-ES"/>
        </w:rPr>
      </w:pPr>
      <w:r w:rsidRPr="00F553AD">
        <w:rPr>
          <w:rFonts w:eastAsia="Times New Roman" w:cstheme="minorHAnsi"/>
          <w:sz w:val="20"/>
          <w:szCs w:val="20"/>
          <w:lang w:val="es-ES"/>
        </w:rPr>
        <w:t>Con una presencia destacada en más de 30 países de los cinco continentes, TransUnion proporciona soluciones que ayudan a crear oportunidades económicas, grandes experiencias y empoderamiento personal para cientos de millones de personas.</w:t>
      </w:r>
    </w:p>
    <w:p w14:paraId="4F4EC1EA" w14:textId="77777777" w:rsidR="008E2B3F" w:rsidRPr="00F553AD" w:rsidRDefault="008E2B3F" w:rsidP="00FC6A91">
      <w:pPr>
        <w:spacing w:after="0" w:line="240" w:lineRule="auto"/>
        <w:jc w:val="both"/>
        <w:rPr>
          <w:rFonts w:eastAsia="Times New Roman" w:cstheme="minorHAnsi"/>
          <w:sz w:val="20"/>
          <w:szCs w:val="20"/>
          <w:lang w:val="es-ES"/>
        </w:rPr>
      </w:pPr>
    </w:p>
    <w:p w14:paraId="1B721C74" w14:textId="77777777" w:rsidR="008E2B3F" w:rsidRPr="00F553AD" w:rsidRDefault="0069397E" w:rsidP="00FC6A91">
      <w:pPr>
        <w:spacing w:after="0" w:line="240" w:lineRule="auto"/>
        <w:jc w:val="both"/>
        <w:rPr>
          <w:rFonts w:eastAsia="Arial" w:cstheme="minorHAnsi"/>
          <w:sz w:val="20"/>
          <w:szCs w:val="20"/>
          <w:lang w:val="es-ES"/>
        </w:rPr>
      </w:pPr>
      <w:hyperlink r:id="rId11" w:history="1">
        <w:r w:rsidR="008E2B3F" w:rsidRPr="00F553AD">
          <w:rPr>
            <w:rStyle w:val="Hipervnculo"/>
            <w:rFonts w:eastAsia="Times New Roman" w:cstheme="minorHAnsi"/>
            <w:sz w:val="20"/>
            <w:szCs w:val="20"/>
            <w:lang w:val="es-ES"/>
          </w:rPr>
          <w:t>http://www.transunion.co/empresas</w:t>
        </w:r>
      </w:hyperlink>
    </w:p>
    <w:p w14:paraId="1D8E0596" w14:textId="350E9AC9" w:rsidR="008A5689" w:rsidRPr="00F553AD" w:rsidRDefault="008A5689" w:rsidP="00FC6A91">
      <w:pPr>
        <w:spacing w:after="0" w:line="240" w:lineRule="auto"/>
        <w:jc w:val="both"/>
        <w:rPr>
          <w:rFonts w:eastAsia="Arial" w:cstheme="minorHAnsi"/>
          <w:sz w:val="20"/>
          <w:szCs w:val="20"/>
        </w:rPr>
      </w:pPr>
    </w:p>
    <w:sectPr w:rsidR="008A5689" w:rsidRPr="00F553A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F4EA" w14:textId="77777777" w:rsidR="0069397E" w:rsidRDefault="0069397E" w:rsidP="008A5689">
      <w:pPr>
        <w:spacing w:after="0" w:line="240" w:lineRule="auto"/>
      </w:pPr>
      <w:r>
        <w:separator/>
      </w:r>
    </w:p>
  </w:endnote>
  <w:endnote w:type="continuationSeparator" w:id="0">
    <w:p w14:paraId="3F7E5D55" w14:textId="77777777" w:rsidR="0069397E" w:rsidRDefault="0069397E" w:rsidP="008A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5DC1" w14:textId="77777777" w:rsidR="0069397E" w:rsidRDefault="0069397E" w:rsidP="008A5689">
      <w:pPr>
        <w:spacing w:after="0" w:line="240" w:lineRule="auto"/>
      </w:pPr>
      <w:r>
        <w:separator/>
      </w:r>
    </w:p>
  </w:footnote>
  <w:footnote w:type="continuationSeparator" w:id="0">
    <w:p w14:paraId="0912ADA8" w14:textId="77777777" w:rsidR="0069397E" w:rsidRDefault="0069397E" w:rsidP="008A5689">
      <w:pPr>
        <w:spacing w:after="0" w:line="240" w:lineRule="auto"/>
      </w:pPr>
      <w:r>
        <w:continuationSeparator/>
      </w:r>
    </w:p>
  </w:footnote>
  <w:footnote w:id="1">
    <w:p w14:paraId="1973F0E0" w14:textId="48685BF2" w:rsidR="00DA7123" w:rsidRPr="000C353A" w:rsidRDefault="00DA7123">
      <w:pPr>
        <w:pStyle w:val="Textonotapie"/>
        <w:rPr>
          <w:lang w:val="es-CO"/>
        </w:rPr>
      </w:pPr>
      <w:r>
        <w:rPr>
          <w:rStyle w:val="Refdenotaalpie"/>
        </w:rPr>
        <w:footnoteRef/>
      </w:r>
      <w:r w:rsidRPr="000C353A">
        <w:rPr>
          <w:lang w:val="es-CO"/>
        </w:rPr>
        <w:t xml:space="preserve"> </w:t>
      </w:r>
      <w:r>
        <w:rPr>
          <w:lang w:val="es-ES"/>
        </w:rPr>
        <w:t xml:space="preserve">Consumidores </w:t>
      </w:r>
      <w:proofErr w:type="spellStart"/>
      <w:r>
        <w:rPr>
          <w:lang w:val="es-ES"/>
        </w:rPr>
        <w:t>below</w:t>
      </w:r>
      <w:proofErr w:type="spellEnd"/>
      <w:r>
        <w:rPr>
          <w:lang w:val="es-ES"/>
        </w:rPr>
        <w:t xml:space="preserve"> prime tienen un puntaje </w:t>
      </w:r>
      <w:proofErr w:type="spellStart"/>
      <w:r>
        <w:rPr>
          <w:lang w:val="es-ES"/>
        </w:rPr>
        <w:t>CreditVison</w:t>
      </w:r>
      <w:proofErr w:type="spellEnd"/>
      <w:r>
        <w:rPr>
          <w:lang w:val="es-ES"/>
        </w:rPr>
        <w:t xml:space="preserve"> de 630 o menor. Consumidores prime y mejores tienen un puntaje CreditVision mayor a 630.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35F0" w14:textId="77777777" w:rsidR="008A5689" w:rsidRPr="008A5689" w:rsidRDefault="008A5689" w:rsidP="008A5689">
    <w:pPr>
      <w:spacing w:after="240"/>
      <w:rPr>
        <w:rFonts w:ascii="Calibri" w:eastAsia="Calibri" w:hAnsi="Calibri" w:cs="Times New Roman"/>
        <w:sz w:val="30"/>
      </w:rPr>
    </w:pPr>
    <w:r w:rsidRPr="008A5689">
      <w:rPr>
        <w:rFonts w:ascii="Calibri" w:eastAsia="Calibri" w:hAnsi="Calibri" w:cs="Times New Roman"/>
        <w:noProof/>
        <w:lang w:val="es-CO" w:eastAsia="es-CO"/>
      </w:rPr>
      <mc:AlternateContent>
        <mc:Choice Requires="wps">
          <w:drawing>
            <wp:anchor distT="0" distB="0" distL="114300" distR="114300" simplePos="0" relativeHeight="251659264" behindDoc="0" locked="0" layoutInCell="1" allowOverlap="1" wp14:anchorId="7A67F305" wp14:editId="00E2F591">
              <wp:simplePos x="0" y="0"/>
              <wp:positionH relativeFrom="page">
                <wp:posOffset>457200</wp:posOffset>
              </wp:positionH>
              <wp:positionV relativeFrom="page">
                <wp:posOffset>457200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noFill/>
                      <a:ln w="19050" cap="flat" cmpd="sng" algn="ctr">
                        <a:solidFill>
                          <a:srgbClr val="FCD800"/>
                        </a:solidFill>
                        <a:prstDash val="solid"/>
                      </a:ln>
                      <a:effectLst/>
                    </wps:spPr>
                    <wps:bodyPr/>
                  </wps:wsp>
                </a:graphicData>
              </a:graphic>
            </wp:anchor>
          </w:drawing>
        </mc:Choice>
        <mc:Fallback>
          <w:pict>
            <v:line w14:anchorId="7D394820" id="Straight Connector 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36pt,36pt" to="8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" strokecolor="#fcd800" strokeweight="1.5pt">
              <w10:wrap anchorx="page" anchory="page"/>
            </v:line>
          </w:pict>
        </mc:Fallback>
      </mc:AlternateContent>
    </w:r>
  </w:p>
  <w:p w14:paraId="0226B95B" w14:textId="60077AF4" w:rsidR="008A5689" w:rsidRPr="008A5689" w:rsidRDefault="008A5689" w:rsidP="008E3EB1">
    <w:pPr>
      <w:spacing w:before="180" w:after="360" w:line="288" w:lineRule="auto"/>
      <w:rPr>
        <w:rFonts w:ascii="Arial" w:eastAsia="Times New Roman" w:hAnsi="Arial" w:cs="Arial"/>
        <w:sz w:val="20"/>
        <w:szCs w:val="21"/>
      </w:rPr>
    </w:pPr>
    <w:r w:rsidRPr="008A5689">
      <w:rPr>
        <w:rFonts w:ascii="Arial" w:eastAsia="Times New Roman" w:hAnsi="Arial" w:cs="Arial"/>
        <w:noProof/>
        <w:sz w:val="20"/>
        <w:szCs w:val="21"/>
        <w:lang w:val="es-CO" w:eastAsia="es-CO"/>
      </w:rPr>
      <w:drawing>
        <wp:inline distT="0" distB="0" distL="0" distR="0" wp14:anchorId="1DF35AC6" wp14:editId="1BEE2005">
          <wp:extent cx="1371600" cy="361189"/>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ogo_blue.png"/>
                  <pic:cNvPicPr/>
                </pic:nvPicPr>
                <pic:blipFill>
                  <a:blip r:embed="rId1">
                    <a:extLst>
                      <a:ext uri="{28A0092B-C50C-407E-A947-70E740481C1C}">
                        <a14:useLocalDpi xmlns:a14="http://schemas.microsoft.com/office/drawing/2010/main" val="0"/>
                      </a:ext>
                    </a:extLst>
                  </a:blip>
                  <a:stretch>
                    <a:fillRect/>
                  </a:stretch>
                </pic:blipFill>
                <pic:spPr>
                  <a:xfrm>
                    <a:off x="0" y="0"/>
                    <a:ext cx="1371600" cy="361189"/>
                  </a:xfrm>
                  <a:prstGeom prst="rect">
                    <a:avLst/>
                  </a:prstGeom>
                </pic:spPr>
              </pic:pic>
            </a:graphicData>
          </a:graphic>
        </wp:inline>
      </w:drawing>
    </w:r>
    <w:r w:rsidRPr="008A5689">
      <w:rPr>
        <w:rFonts w:ascii="Arial" w:eastAsia="Times New Roman" w:hAnsi="Arial" w:cs="Arial"/>
        <w:sz w:val="20"/>
        <w:szCs w:val="21"/>
      </w:rPr>
      <w:tab/>
    </w:r>
    <w:r w:rsidR="008E3EB1">
      <w:rPr>
        <w:rFonts w:ascii="Arial" w:eastAsia="Times New Roman" w:hAnsi="Arial" w:cs="Arial"/>
        <w:sz w:val="20"/>
        <w:szCs w:val="21"/>
      </w:rPr>
      <w:t xml:space="preserve">                     </w:t>
    </w:r>
    <w:r w:rsidR="008E3EB1" w:rsidRPr="00FC6A91">
      <w:rPr>
        <w:rFonts w:ascii="Arial" w:eastAsia="Times New Roman" w:hAnsi="Arial" w:cs="Arial"/>
        <w:b/>
        <w:color w:val="1F497D"/>
        <w:sz w:val="48"/>
        <w:szCs w:val="48"/>
        <w:lang w:val="es-ES"/>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80115"/>
    <w:multiLevelType w:val="hybridMultilevel"/>
    <w:tmpl w:val="0DA0F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FD689A"/>
    <w:multiLevelType w:val="hybridMultilevel"/>
    <w:tmpl w:val="08BC60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9B11A5F"/>
    <w:multiLevelType w:val="hybridMultilevel"/>
    <w:tmpl w:val="B6EE6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CO" w:vendorID="64" w:dllVersion="6" w:nlCheck="1" w:checkStyle="0"/>
  <w:activeWritingStyle w:appName="MSWord" w:lang="es-CO" w:vendorID="64" w:dllVersion="0" w:nlCheck="1" w:checkStyle="0"/>
  <w:activeWritingStyle w:appName="MSWord" w:lang="en-CA" w:vendorID="64" w:dllVersion="6" w:nlCheck="1" w:checkStyle="1"/>
  <w:activeWritingStyle w:appName="MSWord" w:lang="es-ES_tradnl" w:vendorID="64" w:dllVersion="0" w:nlCheck="1" w:checkStyle="0"/>
  <w:activeWritingStyle w:appName="MSWord" w:lang="es-E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89"/>
    <w:rsid w:val="0000226A"/>
    <w:rsid w:val="000051A1"/>
    <w:rsid w:val="00006A3F"/>
    <w:rsid w:val="00006CA0"/>
    <w:rsid w:val="000161E8"/>
    <w:rsid w:val="00034516"/>
    <w:rsid w:val="000347C8"/>
    <w:rsid w:val="00034EF8"/>
    <w:rsid w:val="0004082E"/>
    <w:rsid w:val="0004286F"/>
    <w:rsid w:val="00046B46"/>
    <w:rsid w:val="00047F03"/>
    <w:rsid w:val="00050F94"/>
    <w:rsid w:val="0005134A"/>
    <w:rsid w:val="0005532D"/>
    <w:rsid w:val="00066C11"/>
    <w:rsid w:val="0007085A"/>
    <w:rsid w:val="000766A6"/>
    <w:rsid w:val="00077FC6"/>
    <w:rsid w:val="00081144"/>
    <w:rsid w:val="000855BC"/>
    <w:rsid w:val="00091B3C"/>
    <w:rsid w:val="000970C1"/>
    <w:rsid w:val="000A77E3"/>
    <w:rsid w:val="000B25DA"/>
    <w:rsid w:val="000B3041"/>
    <w:rsid w:val="000B5CE7"/>
    <w:rsid w:val="000C353A"/>
    <w:rsid w:val="000C5BC5"/>
    <w:rsid w:val="000D1F19"/>
    <w:rsid w:val="000D5EC7"/>
    <w:rsid w:val="000D79AC"/>
    <w:rsid w:val="000E1660"/>
    <w:rsid w:val="000E2B9C"/>
    <w:rsid w:val="000E666F"/>
    <w:rsid w:val="000F0DDA"/>
    <w:rsid w:val="000F0F24"/>
    <w:rsid w:val="000F1048"/>
    <w:rsid w:val="000F1D28"/>
    <w:rsid w:val="000F4644"/>
    <w:rsid w:val="000F4E87"/>
    <w:rsid w:val="00104201"/>
    <w:rsid w:val="00104EE0"/>
    <w:rsid w:val="0011034D"/>
    <w:rsid w:val="00110BDA"/>
    <w:rsid w:val="001137BE"/>
    <w:rsid w:val="00117A78"/>
    <w:rsid w:val="00123B33"/>
    <w:rsid w:val="00132299"/>
    <w:rsid w:val="001372D3"/>
    <w:rsid w:val="001417FF"/>
    <w:rsid w:val="00143698"/>
    <w:rsid w:val="00146172"/>
    <w:rsid w:val="0015774A"/>
    <w:rsid w:val="001629B1"/>
    <w:rsid w:val="00177C62"/>
    <w:rsid w:val="00186CB9"/>
    <w:rsid w:val="00197637"/>
    <w:rsid w:val="001A4F95"/>
    <w:rsid w:val="001A79EC"/>
    <w:rsid w:val="001B6D7D"/>
    <w:rsid w:val="001E23F7"/>
    <w:rsid w:val="001F51F4"/>
    <w:rsid w:val="00206B38"/>
    <w:rsid w:val="00206FD7"/>
    <w:rsid w:val="002107B2"/>
    <w:rsid w:val="00210A1A"/>
    <w:rsid w:val="00212272"/>
    <w:rsid w:val="00216AC1"/>
    <w:rsid w:val="00216FA4"/>
    <w:rsid w:val="002317BC"/>
    <w:rsid w:val="0023346E"/>
    <w:rsid w:val="00241627"/>
    <w:rsid w:val="00255AC4"/>
    <w:rsid w:val="00256785"/>
    <w:rsid w:val="00263EA0"/>
    <w:rsid w:val="00272A84"/>
    <w:rsid w:val="002735F8"/>
    <w:rsid w:val="00285C39"/>
    <w:rsid w:val="00290777"/>
    <w:rsid w:val="00295BD5"/>
    <w:rsid w:val="002B472D"/>
    <w:rsid w:val="002B739C"/>
    <w:rsid w:val="002C4F6A"/>
    <w:rsid w:val="002C6B49"/>
    <w:rsid w:val="002C6C95"/>
    <w:rsid w:val="002C71B5"/>
    <w:rsid w:val="002D6EA9"/>
    <w:rsid w:val="002E2CBE"/>
    <w:rsid w:val="002E4F30"/>
    <w:rsid w:val="002F081E"/>
    <w:rsid w:val="00307DA4"/>
    <w:rsid w:val="003139CC"/>
    <w:rsid w:val="00316C75"/>
    <w:rsid w:val="00322AE0"/>
    <w:rsid w:val="003230F0"/>
    <w:rsid w:val="003233F5"/>
    <w:rsid w:val="00326056"/>
    <w:rsid w:val="00333005"/>
    <w:rsid w:val="00334952"/>
    <w:rsid w:val="003366F7"/>
    <w:rsid w:val="0034431F"/>
    <w:rsid w:val="00344B73"/>
    <w:rsid w:val="00346673"/>
    <w:rsid w:val="003475CA"/>
    <w:rsid w:val="00352C18"/>
    <w:rsid w:val="00353275"/>
    <w:rsid w:val="003546AE"/>
    <w:rsid w:val="00355A17"/>
    <w:rsid w:val="0036171E"/>
    <w:rsid w:val="00364759"/>
    <w:rsid w:val="00366108"/>
    <w:rsid w:val="00367D56"/>
    <w:rsid w:val="0037120B"/>
    <w:rsid w:val="0037246E"/>
    <w:rsid w:val="00377516"/>
    <w:rsid w:val="00381F17"/>
    <w:rsid w:val="00382E47"/>
    <w:rsid w:val="00384EDC"/>
    <w:rsid w:val="00385757"/>
    <w:rsid w:val="00385FA0"/>
    <w:rsid w:val="00392FA6"/>
    <w:rsid w:val="00395172"/>
    <w:rsid w:val="003A2215"/>
    <w:rsid w:val="003B27A1"/>
    <w:rsid w:val="003B6831"/>
    <w:rsid w:val="003C006B"/>
    <w:rsid w:val="003C19D7"/>
    <w:rsid w:val="003C421B"/>
    <w:rsid w:val="003C6123"/>
    <w:rsid w:val="003E6744"/>
    <w:rsid w:val="003F2DCA"/>
    <w:rsid w:val="003F6BCD"/>
    <w:rsid w:val="00403993"/>
    <w:rsid w:val="00404D2B"/>
    <w:rsid w:val="00414AF1"/>
    <w:rsid w:val="00414EA0"/>
    <w:rsid w:val="0041538F"/>
    <w:rsid w:val="00420F58"/>
    <w:rsid w:val="00432F98"/>
    <w:rsid w:val="00435B8B"/>
    <w:rsid w:val="00453D8F"/>
    <w:rsid w:val="00455178"/>
    <w:rsid w:val="004637BB"/>
    <w:rsid w:val="00464C38"/>
    <w:rsid w:val="00474DF8"/>
    <w:rsid w:val="00480B51"/>
    <w:rsid w:val="00483A90"/>
    <w:rsid w:val="00485AA8"/>
    <w:rsid w:val="00487D10"/>
    <w:rsid w:val="0049315B"/>
    <w:rsid w:val="00494375"/>
    <w:rsid w:val="00496DB9"/>
    <w:rsid w:val="004A089C"/>
    <w:rsid w:val="004A35EC"/>
    <w:rsid w:val="004A41CF"/>
    <w:rsid w:val="004A4CEC"/>
    <w:rsid w:val="004B18AC"/>
    <w:rsid w:val="004B2425"/>
    <w:rsid w:val="004C052A"/>
    <w:rsid w:val="004C79ED"/>
    <w:rsid w:val="004D0307"/>
    <w:rsid w:val="004D0977"/>
    <w:rsid w:val="004D0F54"/>
    <w:rsid w:val="004D58C9"/>
    <w:rsid w:val="004D591A"/>
    <w:rsid w:val="004D6CD0"/>
    <w:rsid w:val="004E0650"/>
    <w:rsid w:val="004E4799"/>
    <w:rsid w:val="004E7C90"/>
    <w:rsid w:val="004F1699"/>
    <w:rsid w:val="004F1936"/>
    <w:rsid w:val="004F6485"/>
    <w:rsid w:val="00501AFC"/>
    <w:rsid w:val="00502012"/>
    <w:rsid w:val="005047BA"/>
    <w:rsid w:val="005051E2"/>
    <w:rsid w:val="00510833"/>
    <w:rsid w:val="00515544"/>
    <w:rsid w:val="00525860"/>
    <w:rsid w:val="00525927"/>
    <w:rsid w:val="00526309"/>
    <w:rsid w:val="0052630B"/>
    <w:rsid w:val="00530579"/>
    <w:rsid w:val="00531D68"/>
    <w:rsid w:val="005328C4"/>
    <w:rsid w:val="00534249"/>
    <w:rsid w:val="00542881"/>
    <w:rsid w:val="00542F2D"/>
    <w:rsid w:val="005533FC"/>
    <w:rsid w:val="00561805"/>
    <w:rsid w:val="00564EC4"/>
    <w:rsid w:val="00566A00"/>
    <w:rsid w:val="00567204"/>
    <w:rsid w:val="005712C8"/>
    <w:rsid w:val="00572FE1"/>
    <w:rsid w:val="0057321D"/>
    <w:rsid w:val="005732D5"/>
    <w:rsid w:val="00575006"/>
    <w:rsid w:val="00576D93"/>
    <w:rsid w:val="00580332"/>
    <w:rsid w:val="00580D3A"/>
    <w:rsid w:val="00581FE4"/>
    <w:rsid w:val="00583ED1"/>
    <w:rsid w:val="005843CC"/>
    <w:rsid w:val="00585060"/>
    <w:rsid w:val="00590E80"/>
    <w:rsid w:val="00591487"/>
    <w:rsid w:val="0059623A"/>
    <w:rsid w:val="005A5E0E"/>
    <w:rsid w:val="005B0399"/>
    <w:rsid w:val="005B1762"/>
    <w:rsid w:val="005C05BC"/>
    <w:rsid w:val="005C1E97"/>
    <w:rsid w:val="005C5A4A"/>
    <w:rsid w:val="005D78DF"/>
    <w:rsid w:val="005E0D57"/>
    <w:rsid w:val="005E1D27"/>
    <w:rsid w:val="005E436D"/>
    <w:rsid w:val="005F690C"/>
    <w:rsid w:val="005F7DA4"/>
    <w:rsid w:val="00605515"/>
    <w:rsid w:val="00605C62"/>
    <w:rsid w:val="006063C1"/>
    <w:rsid w:val="006110D0"/>
    <w:rsid w:val="00616169"/>
    <w:rsid w:val="006215FC"/>
    <w:rsid w:val="0064069F"/>
    <w:rsid w:val="00641138"/>
    <w:rsid w:val="0064158C"/>
    <w:rsid w:val="00641726"/>
    <w:rsid w:val="00643383"/>
    <w:rsid w:val="00646141"/>
    <w:rsid w:val="00646B67"/>
    <w:rsid w:val="00657826"/>
    <w:rsid w:val="00670FCD"/>
    <w:rsid w:val="0067254A"/>
    <w:rsid w:val="00673F5D"/>
    <w:rsid w:val="006805F9"/>
    <w:rsid w:val="006820BE"/>
    <w:rsid w:val="006877B2"/>
    <w:rsid w:val="0069397E"/>
    <w:rsid w:val="00694564"/>
    <w:rsid w:val="00694985"/>
    <w:rsid w:val="006A18EB"/>
    <w:rsid w:val="006A45CA"/>
    <w:rsid w:val="006A6A07"/>
    <w:rsid w:val="006B4880"/>
    <w:rsid w:val="006B71A7"/>
    <w:rsid w:val="006D15CA"/>
    <w:rsid w:val="006E0B27"/>
    <w:rsid w:val="006E66BA"/>
    <w:rsid w:val="006F0749"/>
    <w:rsid w:val="00703909"/>
    <w:rsid w:val="007074D9"/>
    <w:rsid w:val="0071363D"/>
    <w:rsid w:val="00715355"/>
    <w:rsid w:val="00715D84"/>
    <w:rsid w:val="00716C26"/>
    <w:rsid w:val="007243F4"/>
    <w:rsid w:val="00730136"/>
    <w:rsid w:val="00732B74"/>
    <w:rsid w:val="0073413D"/>
    <w:rsid w:val="007360C2"/>
    <w:rsid w:val="0074466E"/>
    <w:rsid w:val="00746558"/>
    <w:rsid w:val="0075064F"/>
    <w:rsid w:val="00754094"/>
    <w:rsid w:val="00756AEA"/>
    <w:rsid w:val="00757095"/>
    <w:rsid w:val="00762268"/>
    <w:rsid w:val="0076665F"/>
    <w:rsid w:val="00774B38"/>
    <w:rsid w:val="00775F92"/>
    <w:rsid w:val="00781AFB"/>
    <w:rsid w:val="007A03B5"/>
    <w:rsid w:val="007A7E63"/>
    <w:rsid w:val="007B07D2"/>
    <w:rsid w:val="007B44EC"/>
    <w:rsid w:val="007C0F4E"/>
    <w:rsid w:val="007C2B1A"/>
    <w:rsid w:val="007D0C59"/>
    <w:rsid w:val="007D3CB3"/>
    <w:rsid w:val="007D5EA8"/>
    <w:rsid w:val="007E42FC"/>
    <w:rsid w:val="007E48FD"/>
    <w:rsid w:val="007E7259"/>
    <w:rsid w:val="007F08DE"/>
    <w:rsid w:val="007F1178"/>
    <w:rsid w:val="007F29CC"/>
    <w:rsid w:val="007F5439"/>
    <w:rsid w:val="007F6B4D"/>
    <w:rsid w:val="008004E4"/>
    <w:rsid w:val="00811C26"/>
    <w:rsid w:val="0082267B"/>
    <w:rsid w:val="00826D5A"/>
    <w:rsid w:val="00827677"/>
    <w:rsid w:val="0083003A"/>
    <w:rsid w:val="008348E7"/>
    <w:rsid w:val="00834E48"/>
    <w:rsid w:val="00840670"/>
    <w:rsid w:val="00840EF8"/>
    <w:rsid w:val="00844D8F"/>
    <w:rsid w:val="008466DB"/>
    <w:rsid w:val="008472E8"/>
    <w:rsid w:val="00852EAB"/>
    <w:rsid w:val="00857CF6"/>
    <w:rsid w:val="00864FF9"/>
    <w:rsid w:val="00866BAF"/>
    <w:rsid w:val="008702DE"/>
    <w:rsid w:val="00870446"/>
    <w:rsid w:val="00875447"/>
    <w:rsid w:val="008819BB"/>
    <w:rsid w:val="008822F3"/>
    <w:rsid w:val="00883BA6"/>
    <w:rsid w:val="00884460"/>
    <w:rsid w:val="00884717"/>
    <w:rsid w:val="008921CD"/>
    <w:rsid w:val="008A5689"/>
    <w:rsid w:val="008B4F14"/>
    <w:rsid w:val="008B69D3"/>
    <w:rsid w:val="008B711E"/>
    <w:rsid w:val="008B75BE"/>
    <w:rsid w:val="008C7058"/>
    <w:rsid w:val="008D15EA"/>
    <w:rsid w:val="008D3D96"/>
    <w:rsid w:val="008D4287"/>
    <w:rsid w:val="008E2B3F"/>
    <w:rsid w:val="008E3EB1"/>
    <w:rsid w:val="008E4FB3"/>
    <w:rsid w:val="008E79F7"/>
    <w:rsid w:val="008F3B87"/>
    <w:rsid w:val="008F4B19"/>
    <w:rsid w:val="009000B5"/>
    <w:rsid w:val="009059E4"/>
    <w:rsid w:val="00906EEE"/>
    <w:rsid w:val="00912612"/>
    <w:rsid w:val="00913072"/>
    <w:rsid w:val="00913FC7"/>
    <w:rsid w:val="00916B68"/>
    <w:rsid w:val="00931407"/>
    <w:rsid w:val="00933204"/>
    <w:rsid w:val="0093447D"/>
    <w:rsid w:val="0094013E"/>
    <w:rsid w:val="00940B29"/>
    <w:rsid w:val="00956D07"/>
    <w:rsid w:val="00960C51"/>
    <w:rsid w:val="00960E7B"/>
    <w:rsid w:val="00964219"/>
    <w:rsid w:val="0096481D"/>
    <w:rsid w:val="009662B2"/>
    <w:rsid w:val="00970F7B"/>
    <w:rsid w:val="00971601"/>
    <w:rsid w:val="00971C7B"/>
    <w:rsid w:val="00972ADE"/>
    <w:rsid w:val="009732B8"/>
    <w:rsid w:val="00974C4E"/>
    <w:rsid w:val="00986441"/>
    <w:rsid w:val="00993576"/>
    <w:rsid w:val="009B568E"/>
    <w:rsid w:val="009D2690"/>
    <w:rsid w:val="009D42E5"/>
    <w:rsid w:val="009D77FE"/>
    <w:rsid w:val="009D7DE7"/>
    <w:rsid w:val="009E0066"/>
    <w:rsid w:val="009E0264"/>
    <w:rsid w:val="009E1BC2"/>
    <w:rsid w:val="009E60E4"/>
    <w:rsid w:val="009E7969"/>
    <w:rsid w:val="00A00F8B"/>
    <w:rsid w:val="00A044C1"/>
    <w:rsid w:val="00A06267"/>
    <w:rsid w:val="00A23BA0"/>
    <w:rsid w:val="00A3591A"/>
    <w:rsid w:val="00A41B79"/>
    <w:rsid w:val="00A426AB"/>
    <w:rsid w:val="00A461D0"/>
    <w:rsid w:val="00A46990"/>
    <w:rsid w:val="00A471CD"/>
    <w:rsid w:val="00A50ABB"/>
    <w:rsid w:val="00A538EE"/>
    <w:rsid w:val="00A60F8C"/>
    <w:rsid w:val="00A626B5"/>
    <w:rsid w:val="00A63F26"/>
    <w:rsid w:val="00A70EBF"/>
    <w:rsid w:val="00A716AE"/>
    <w:rsid w:val="00A76AFA"/>
    <w:rsid w:val="00A83A02"/>
    <w:rsid w:val="00A861E8"/>
    <w:rsid w:val="00A91DAA"/>
    <w:rsid w:val="00A9282A"/>
    <w:rsid w:val="00A94808"/>
    <w:rsid w:val="00A959B3"/>
    <w:rsid w:val="00A95D4A"/>
    <w:rsid w:val="00A97F1F"/>
    <w:rsid w:val="00AA4AE4"/>
    <w:rsid w:val="00AA531B"/>
    <w:rsid w:val="00AA5F89"/>
    <w:rsid w:val="00AA7942"/>
    <w:rsid w:val="00AB2534"/>
    <w:rsid w:val="00AB2C14"/>
    <w:rsid w:val="00AB31A1"/>
    <w:rsid w:val="00AB36A9"/>
    <w:rsid w:val="00AC17EC"/>
    <w:rsid w:val="00AC3A15"/>
    <w:rsid w:val="00AD111B"/>
    <w:rsid w:val="00AD2C6C"/>
    <w:rsid w:val="00AD3946"/>
    <w:rsid w:val="00AD7F61"/>
    <w:rsid w:val="00AF0B54"/>
    <w:rsid w:val="00AF0C26"/>
    <w:rsid w:val="00AF1042"/>
    <w:rsid w:val="00AF1543"/>
    <w:rsid w:val="00B05DBB"/>
    <w:rsid w:val="00B06D6B"/>
    <w:rsid w:val="00B118BB"/>
    <w:rsid w:val="00B14454"/>
    <w:rsid w:val="00B24081"/>
    <w:rsid w:val="00B33382"/>
    <w:rsid w:val="00B35C66"/>
    <w:rsid w:val="00B40846"/>
    <w:rsid w:val="00B41014"/>
    <w:rsid w:val="00B4133E"/>
    <w:rsid w:val="00B41CC8"/>
    <w:rsid w:val="00B43998"/>
    <w:rsid w:val="00B45171"/>
    <w:rsid w:val="00B474C4"/>
    <w:rsid w:val="00B51D07"/>
    <w:rsid w:val="00B53F8B"/>
    <w:rsid w:val="00B62AD1"/>
    <w:rsid w:val="00B67D8E"/>
    <w:rsid w:val="00B76724"/>
    <w:rsid w:val="00B811EA"/>
    <w:rsid w:val="00B815BC"/>
    <w:rsid w:val="00B86B74"/>
    <w:rsid w:val="00B87AE0"/>
    <w:rsid w:val="00B90BEA"/>
    <w:rsid w:val="00B92D29"/>
    <w:rsid w:val="00B96E3C"/>
    <w:rsid w:val="00BA0103"/>
    <w:rsid w:val="00BA1A44"/>
    <w:rsid w:val="00BA67B5"/>
    <w:rsid w:val="00BB16FE"/>
    <w:rsid w:val="00BB2853"/>
    <w:rsid w:val="00BB5078"/>
    <w:rsid w:val="00BB5E58"/>
    <w:rsid w:val="00BB657E"/>
    <w:rsid w:val="00BB6C75"/>
    <w:rsid w:val="00BC3600"/>
    <w:rsid w:val="00BD3506"/>
    <w:rsid w:val="00BD45CF"/>
    <w:rsid w:val="00BE381D"/>
    <w:rsid w:val="00BF6A77"/>
    <w:rsid w:val="00C03804"/>
    <w:rsid w:val="00C05656"/>
    <w:rsid w:val="00C133AB"/>
    <w:rsid w:val="00C16507"/>
    <w:rsid w:val="00C24844"/>
    <w:rsid w:val="00C32BB8"/>
    <w:rsid w:val="00C455CE"/>
    <w:rsid w:val="00C46B25"/>
    <w:rsid w:val="00C512D7"/>
    <w:rsid w:val="00C514FF"/>
    <w:rsid w:val="00C52873"/>
    <w:rsid w:val="00C54094"/>
    <w:rsid w:val="00C5793F"/>
    <w:rsid w:val="00C5796B"/>
    <w:rsid w:val="00C617EB"/>
    <w:rsid w:val="00C620A3"/>
    <w:rsid w:val="00C62A12"/>
    <w:rsid w:val="00C64A7F"/>
    <w:rsid w:val="00C73C6A"/>
    <w:rsid w:val="00C75317"/>
    <w:rsid w:val="00C80C82"/>
    <w:rsid w:val="00C81853"/>
    <w:rsid w:val="00C8382F"/>
    <w:rsid w:val="00C876DE"/>
    <w:rsid w:val="00C90423"/>
    <w:rsid w:val="00C93F34"/>
    <w:rsid w:val="00C95E9B"/>
    <w:rsid w:val="00CA167A"/>
    <w:rsid w:val="00CB6B3E"/>
    <w:rsid w:val="00CC61C1"/>
    <w:rsid w:val="00CD0C21"/>
    <w:rsid w:val="00CD1095"/>
    <w:rsid w:val="00CD2505"/>
    <w:rsid w:val="00CD34AF"/>
    <w:rsid w:val="00CD5488"/>
    <w:rsid w:val="00CE6EED"/>
    <w:rsid w:val="00CF0DB3"/>
    <w:rsid w:val="00CF50E3"/>
    <w:rsid w:val="00D03370"/>
    <w:rsid w:val="00D03D82"/>
    <w:rsid w:val="00D12B6C"/>
    <w:rsid w:val="00D13297"/>
    <w:rsid w:val="00D14CD5"/>
    <w:rsid w:val="00D17522"/>
    <w:rsid w:val="00D308B4"/>
    <w:rsid w:val="00D31E43"/>
    <w:rsid w:val="00D344B2"/>
    <w:rsid w:val="00D373C3"/>
    <w:rsid w:val="00D45FE8"/>
    <w:rsid w:val="00D545C9"/>
    <w:rsid w:val="00D548F4"/>
    <w:rsid w:val="00D61F66"/>
    <w:rsid w:val="00D65242"/>
    <w:rsid w:val="00D73C65"/>
    <w:rsid w:val="00D77FC3"/>
    <w:rsid w:val="00D954C6"/>
    <w:rsid w:val="00DA25CB"/>
    <w:rsid w:val="00DA686B"/>
    <w:rsid w:val="00DA6C9B"/>
    <w:rsid w:val="00DA7123"/>
    <w:rsid w:val="00DB3671"/>
    <w:rsid w:val="00DB65B4"/>
    <w:rsid w:val="00DB6BD6"/>
    <w:rsid w:val="00DC076D"/>
    <w:rsid w:val="00DC2972"/>
    <w:rsid w:val="00DC7977"/>
    <w:rsid w:val="00DC7E4A"/>
    <w:rsid w:val="00DD2CC6"/>
    <w:rsid w:val="00DD5254"/>
    <w:rsid w:val="00DD56FC"/>
    <w:rsid w:val="00DD7E28"/>
    <w:rsid w:val="00DE1616"/>
    <w:rsid w:val="00DE1C56"/>
    <w:rsid w:val="00DE2D3F"/>
    <w:rsid w:val="00DE4A4D"/>
    <w:rsid w:val="00DE613A"/>
    <w:rsid w:val="00DF7314"/>
    <w:rsid w:val="00DF7DF8"/>
    <w:rsid w:val="00E0340B"/>
    <w:rsid w:val="00E04626"/>
    <w:rsid w:val="00E07503"/>
    <w:rsid w:val="00E11E2F"/>
    <w:rsid w:val="00E16E54"/>
    <w:rsid w:val="00E20BE7"/>
    <w:rsid w:val="00E2420B"/>
    <w:rsid w:val="00E249CD"/>
    <w:rsid w:val="00E31A85"/>
    <w:rsid w:val="00E33484"/>
    <w:rsid w:val="00E520E7"/>
    <w:rsid w:val="00E5550E"/>
    <w:rsid w:val="00E620A2"/>
    <w:rsid w:val="00E62275"/>
    <w:rsid w:val="00E64441"/>
    <w:rsid w:val="00E65F18"/>
    <w:rsid w:val="00E66D98"/>
    <w:rsid w:val="00E67046"/>
    <w:rsid w:val="00E70847"/>
    <w:rsid w:val="00E72E07"/>
    <w:rsid w:val="00E802F1"/>
    <w:rsid w:val="00E8123C"/>
    <w:rsid w:val="00E87D6C"/>
    <w:rsid w:val="00E90833"/>
    <w:rsid w:val="00E91AC5"/>
    <w:rsid w:val="00E92FA8"/>
    <w:rsid w:val="00EA1B4B"/>
    <w:rsid w:val="00EA1E67"/>
    <w:rsid w:val="00EA52F3"/>
    <w:rsid w:val="00EA7ECC"/>
    <w:rsid w:val="00EB2139"/>
    <w:rsid w:val="00EC01E1"/>
    <w:rsid w:val="00EC0C28"/>
    <w:rsid w:val="00EC3722"/>
    <w:rsid w:val="00EC667D"/>
    <w:rsid w:val="00ED0C34"/>
    <w:rsid w:val="00ED1E4C"/>
    <w:rsid w:val="00ED3B5E"/>
    <w:rsid w:val="00ED685F"/>
    <w:rsid w:val="00ED7893"/>
    <w:rsid w:val="00EE1306"/>
    <w:rsid w:val="00EE33A5"/>
    <w:rsid w:val="00EE5B5F"/>
    <w:rsid w:val="00F03D0F"/>
    <w:rsid w:val="00F0611A"/>
    <w:rsid w:val="00F104F1"/>
    <w:rsid w:val="00F11049"/>
    <w:rsid w:val="00F11460"/>
    <w:rsid w:val="00F11E5A"/>
    <w:rsid w:val="00F17B79"/>
    <w:rsid w:val="00F25571"/>
    <w:rsid w:val="00F277B5"/>
    <w:rsid w:val="00F30B6F"/>
    <w:rsid w:val="00F319D2"/>
    <w:rsid w:val="00F341E2"/>
    <w:rsid w:val="00F37D02"/>
    <w:rsid w:val="00F40F4A"/>
    <w:rsid w:val="00F40F8E"/>
    <w:rsid w:val="00F42594"/>
    <w:rsid w:val="00F553AD"/>
    <w:rsid w:val="00F562D0"/>
    <w:rsid w:val="00F60768"/>
    <w:rsid w:val="00F61424"/>
    <w:rsid w:val="00F61CFA"/>
    <w:rsid w:val="00F70FF5"/>
    <w:rsid w:val="00F7188C"/>
    <w:rsid w:val="00F7645A"/>
    <w:rsid w:val="00F85363"/>
    <w:rsid w:val="00F9369B"/>
    <w:rsid w:val="00F937FE"/>
    <w:rsid w:val="00F973AB"/>
    <w:rsid w:val="00FA1F30"/>
    <w:rsid w:val="00FA2F0B"/>
    <w:rsid w:val="00FB128B"/>
    <w:rsid w:val="00FB3599"/>
    <w:rsid w:val="00FB4133"/>
    <w:rsid w:val="00FB71B3"/>
    <w:rsid w:val="00FC3266"/>
    <w:rsid w:val="00FC4636"/>
    <w:rsid w:val="00FC6A91"/>
    <w:rsid w:val="00FD042B"/>
    <w:rsid w:val="00FD60C8"/>
    <w:rsid w:val="00FD6BF3"/>
    <w:rsid w:val="00FE00C6"/>
    <w:rsid w:val="00FE1858"/>
    <w:rsid w:val="00FF211C"/>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09D6"/>
  <w15:chartTrackingRefBased/>
  <w15:docId w15:val="{7B3C7DEC-D4D1-4F80-8CE7-69710E04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D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68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A5689"/>
  </w:style>
  <w:style w:type="paragraph" w:styleId="Piedepgina">
    <w:name w:val="footer"/>
    <w:basedOn w:val="Normal"/>
    <w:link w:val="PiedepginaCar"/>
    <w:uiPriority w:val="99"/>
    <w:unhideWhenUsed/>
    <w:rsid w:val="008A568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A5689"/>
  </w:style>
  <w:style w:type="paragraph" w:styleId="Textonotapie">
    <w:name w:val="footnote text"/>
    <w:basedOn w:val="Normal"/>
    <w:link w:val="TextonotapieCar"/>
    <w:uiPriority w:val="99"/>
    <w:semiHidden/>
    <w:unhideWhenUsed/>
    <w:rsid w:val="008A5689"/>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8A5689"/>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8A5689"/>
    <w:rPr>
      <w:vertAlign w:val="superscript"/>
    </w:rPr>
  </w:style>
  <w:style w:type="paragraph" w:styleId="Prrafodelista">
    <w:name w:val="List Paragraph"/>
    <w:basedOn w:val="Normal"/>
    <w:uiPriority w:val="34"/>
    <w:qFormat/>
    <w:rsid w:val="008A5689"/>
    <w:pPr>
      <w:ind w:left="720"/>
      <w:contextualSpacing/>
    </w:pPr>
  </w:style>
  <w:style w:type="paragraph" w:styleId="Textoindependiente">
    <w:name w:val="Body Text"/>
    <w:basedOn w:val="Normal"/>
    <w:link w:val="TextoindependienteCar"/>
    <w:rsid w:val="008A5689"/>
    <w:pPr>
      <w:spacing w:before="180" w:after="240" w:line="288" w:lineRule="auto"/>
    </w:pPr>
    <w:rPr>
      <w:rFonts w:ascii="Arial" w:eastAsia="Times New Roman" w:hAnsi="Arial" w:cs="Arial"/>
      <w:sz w:val="20"/>
      <w:szCs w:val="21"/>
    </w:rPr>
  </w:style>
  <w:style w:type="character" w:customStyle="1" w:styleId="TextoindependienteCar">
    <w:name w:val="Texto independiente Car"/>
    <w:basedOn w:val="Fuentedeprrafopredeter"/>
    <w:link w:val="Textoindependiente"/>
    <w:rsid w:val="008A5689"/>
    <w:rPr>
      <w:rFonts w:ascii="Arial" w:eastAsia="Times New Roman" w:hAnsi="Arial" w:cs="Arial"/>
      <w:sz w:val="20"/>
      <w:szCs w:val="21"/>
    </w:rPr>
  </w:style>
  <w:style w:type="character" w:styleId="Refdecomentario">
    <w:name w:val="annotation reference"/>
    <w:basedOn w:val="Fuentedeprrafopredeter"/>
    <w:uiPriority w:val="99"/>
    <w:semiHidden/>
    <w:unhideWhenUsed/>
    <w:rsid w:val="00B45171"/>
    <w:rPr>
      <w:sz w:val="16"/>
      <w:szCs w:val="16"/>
    </w:rPr>
  </w:style>
  <w:style w:type="paragraph" w:styleId="Textocomentario">
    <w:name w:val="annotation text"/>
    <w:basedOn w:val="Normal"/>
    <w:link w:val="TextocomentarioCar"/>
    <w:uiPriority w:val="99"/>
    <w:unhideWhenUsed/>
    <w:rsid w:val="00B45171"/>
    <w:pPr>
      <w:spacing w:line="240" w:lineRule="auto"/>
    </w:pPr>
    <w:rPr>
      <w:sz w:val="20"/>
      <w:szCs w:val="20"/>
    </w:rPr>
  </w:style>
  <w:style w:type="character" w:customStyle="1" w:styleId="TextocomentarioCar">
    <w:name w:val="Texto comentario Car"/>
    <w:basedOn w:val="Fuentedeprrafopredeter"/>
    <w:link w:val="Textocomentario"/>
    <w:uiPriority w:val="99"/>
    <w:rsid w:val="00B45171"/>
    <w:rPr>
      <w:sz w:val="20"/>
      <w:szCs w:val="20"/>
    </w:rPr>
  </w:style>
  <w:style w:type="paragraph" w:styleId="Asuntodelcomentario">
    <w:name w:val="annotation subject"/>
    <w:basedOn w:val="Textocomentario"/>
    <w:next w:val="Textocomentario"/>
    <w:link w:val="AsuntodelcomentarioCar"/>
    <w:uiPriority w:val="99"/>
    <w:semiHidden/>
    <w:unhideWhenUsed/>
    <w:rsid w:val="00B45171"/>
    <w:rPr>
      <w:b/>
      <w:bCs/>
    </w:rPr>
  </w:style>
  <w:style w:type="character" w:customStyle="1" w:styleId="AsuntodelcomentarioCar">
    <w:name w:val="Asunto del comentario Car"/>
    <w:basedOn w:val="TextocomentarioCar"/>
    <w:link w:val="Asuntodelcomentario"/>
    <w:uiPriority w:val="99"/>
    <w:semiHidden/>
    <w:rsid w:val="00B45171"/>
    <w:rPr>
      <w:b/>
      <w:bCs/>
      <w:sz w:val="20"/>
      <w:szCs w:val="20"/>
    </w:rPr>
  </w:style>
  <w:style w:type="character" w:styleId="Hipervnculo">
    <w:name w:val="Hyperlink"/>
    <w:basedOn w:val="Fuentedeprrafopredeter"/>
    <w:uiPriority w:val="99"/>
    <w:unhideWhenUsed/>
    <w:rsid w:val="00CF0DB3"/>
    <w:rPr>
      <w:color w:val="0563C1" w:themeColor="hyperlink"/>
      <w:u w:val="single"/>
    </w:rPr>
  </w:style>
  <w:style w:type="character" w:customStyle="1" w:styleId="UnresolvedMention1">
    <w:name w:val="Unresolved Mention1"/>
    <w:basedOn w:val="Fuentedeprrafopredeter"/>
    <w:uiPriority w:val="99"/>
    <w:semiHidden/>
    <w:unhideWhenUsed/>
    <w:rsid w:val="00CF0DB3"/>
    <w:rPr>
      <w:color w:val="605E5C"/>
      <w:shd w:val="clear" w:color="auto" w:fill="E1DFDD"/>
    </w:rPr>
  </w:style>
  <w:style w:type="paragraph" w:styleId="Textodeglobo">
    <w:name w:val="Balloon Text"/>
    <w:basedOn w:val="Normal"/>
    <w:link w:val="TextodegloboCar"/>
    <w:uiPriority w:val="99"/>
    <w:semiHidden/>
    <w:unhideWhenUsed/>
    <w:rsid w:val="00DF7D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7DF8"/>
    <w:rPr>
      <w:rFonts w:ascii="Segoe UI" w:hAnsi="Segoe UI" w:cs="Segoe UI"/>
      <w:sz w:val="18"/>
      <w:szCs w:val="18"/>
    </w:rPr>
  </w:style>
  <w:style w:type="character" w:styleId="Hipervnculovisitado">
    <w:name w:val="FollowedHyperlink"/>
    <w:basedOn w:val="Fuentedeprrafopredeter"/>
    <w:uiPriority w:val="99"/>
    <w:semiHidden/>
    <w:unhideWhenUsed/>
    <w:rsid w:val="005051E2"/>
    <w:rPr>
      <w:color w:val="954F72" w:themeColor="followedHyperlink"/>
      <w:u w:val="single"/>
    </w:rPr>
  </w:style>
  <w:style w:type="table" w:styleId="Tablaconcuadrcula">
    <w:name w:val="Table Grid"/>
    <w:basedOn w:val="Tablanormal"/>
    <w:uiPriority w:val="59"/>
    <w:rsid w:val="005914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81144"/>
    <w:pPr>
      <w:spacing w:after="0" w:line="240" w:lineRule="auto"/>
    </w:pPr>
  </w:style>
  <w:style w:type="character" w:customStyle="1" w:styleId="UnresolvedMention2">
    <w:name w:val="Unresolved Mention2"/>
    <w:basedOn w:val="Fuentedeprrafopredeter"/>
    <w:uiPriority w:val="99"/>
    <w:semiHidden/>
    <w:unhideWhenUsed/>
    <w:rsid w:val="001E23F7"/>
    <w:rPr>
      <w:color w:val="605E5C"/>
      <w:shd w:val="clear" w:color="auto" w:fill="E1DFDD"/>
    </w:rPr>
  </w:style>
  <w:style w:type="paragraph" w:styleId="Sinespaciado">
    <w:name w:val="No Spacing"/>
    <w:uiPriority w:val="1"/>
    <w:qFormat/>
    <w:rsid w:val="00F55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nsunion.co/empresa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65D87A17F8A4CB8A9E1B9BFED190B" ma:contentTypeVersion="11" ma:contentTypeDescription="Create a new document." ma:contentTypeScope="" ma:versionID="bb67b56917e60ae861043c0922f78343">
  <xsd:schema xmlns:xsd="http://www.w3.org/2001/XMLSchema" xmlns:xs="http://www.w3.org/2001/XMLSchema" xmlns:p="http://schemas.microsoft.com/office/2006/metadata/properties" xmlns:ns1="http://schemas.microsoft.com/sharepoint/v3" xmlns:ns2="a51b3e2f-2248-4f7e-8dcb-af57fe43f7f7" xmlns:ns3="38b9ed56-898a-44ca-babc-09e990e9a791" targetNamespace="http://schemas.microsoft.com/office/2006/metadata/properties" ma:root="true" ma:fieldsID="5b676ff18a03b78be9d1a81c85550d37" ns1:_="" ns2:_="" ns3:_="">
    <xsd:import namespace="http://schemas.microsoft.com/sharepoint/v3"/>
    <xsd:import namespace="a51b3e2f-2248-4f7e-8dcb-af57fe43f7f7"/>
    <xsd:import namespace="38b9ed56-898a-44ca-babc-09e990e9a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b3e2f-2248-4f7e-8dcb-af57fe43f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9ed56-898a-44ca-babc-09e990e9a79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74FAFF7-1F2E-4F83-86BF-2F42598B7735}">
  <ds:schemaRefs>
    <ds:schemaRef ds:uri="http://schemas.openxmlformats.org/officeDocument/2006/bibliography"/>
  </ds:schemaRefs>
</ds:datastoreItem>
</file>

<file path=customXml/itemProps2.xml><?xml version="1.0" encoding="utf-8"?>
<ds:datastoreItem xmlns:ds="http://schemas.openxmlformats.org/officeDocument/2006/customXml" ds:itemID="{82A375F7-1D3E-4597-B444-636AFE914BD0}">
  <ds:schemaRefs>
    <ds:schemaRef ds:uri="http://schemas.microsoft.com/sharepoint/v3/contenttype/forms"/>
  </ds:schemaRefs>
</ds:datastoreItem>
</file>

<file path=customXml/itemProps3.xml><?xml version="1.0" encoding="utf-8"?>
<ds:datastoreItem xmlns:ds="http://schemas.openxmlformats.org/officeDocument/2006/customXml" ds:itemID="{161EC5DE-DB06-4C0C-A006-2BF120E13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1b3e2f-2248-4f7e-8dcb-af57fe43f7f7"/>
    <ds:schemaRef ds:uri="38b9ed56-898a-44ca-babc-09e990e9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D9B6C-5E2D-4E3E-9E82-128F989F928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9965</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Shapiro</dc:creator>
  <cp:keywords/>
  <dc:description/>
  <cp:lastModifiedBy>Comunicaciones Mercantil Colpatria</cp:lastModifiedBy>
  <cp:revision>2</cp:revision>
  <dcterms:created xsi:type="dcterms:W3CDTF">2021-05-25T11:29:00Z</dcterms:created>
  <dcterms:modified xsi:type="dcterms:W3CDTF">2021-05-25T11:29:00Z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0x0101009A365D87A17F8A4CB8A9E1B9BFED190B</vt:lpwstr>
  </property>
</Properties>
</file>