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A9" w:rsidRDefault="006E41A9">
      <w:pPr>
        <w:pBdr>
          <w:top w:val="nil"/>
          <w:left w:val="nil"/>
          <w:bottom w:val="nil"/>
          <w:right w:val="nil"/>
          <w:between w:val="nil"/>
        </w:pBdr>
        <w:spacing w:after="0" w:line="276" w:lineRule="auto"/>
        <w:ind w:right="0"/>
      </w:pPr>
    </w:p>
    <w:p w:rsidR="006E41A9" w:rsidRPr="00C813F6" w:rsidRDefault="002620E6">
      <w:pPr>
        <w:widowControl/>
        <w:pBdr>
          <w:top w:val="nil"/>
          <w:left w:val="nil"/>
          <w:bottom w:val="nil"/>
          <w:right w:val="nil"/>
          <w:between w:val="nil"/>
        </w:pBdr>
        <w:tabs>
          <w:tab w:val="left" w:pos="426"/>
          <w:tab w:val="left" w:pos="11199"/>
        </w:tabs>
        <w:spacing w:line="240" w:lineRule="auto"/>
        <w:rPr>
          <w:rFonts w:ascii="BBVABentonSans" w:eastAsia="BBVABentonSans" w:hAnsi="BBVABentonSans" w:cs="BBVABentonSans"/>
          <w:color w:val="072146"/>
          <w:sz w:val="32"/>
          <w:szCs w:val="32"/>
          <w:lang w:val="es-CO"/>
        </w:rPr>
      </w:pPr>
      <w:r>
        <w:rPr>
          <w:rFonts w:ascii="BBVABentonSans" w:eastAsia="BBVABentonSans" w:hAnsi="BBVABentonSans" w:cs="BBVABentonSans"/>
          <w:color w:val="072146"/>
          <w:sz w:val="32"/>
          <w:szCs w:val="32"/>
          <w:lang w:val="es-CO"/>
        </w:rPr>
        <w:t>La aplicación estará disponible en 15 países y opera con 24 divisas</w:t>
      </w:r>
    </w:p>
    <w:p w:rsidR="002620E6" w:rsidRDefault="002620E6" w:rsidP="002620E6">
      <w:pPr>
        <w:widowControl/>
        <w:pBdr>
          <w:top w:val="nil"/>
          <w:left w:val="nil"/>
          <w:bottom w:val="nil"/>
          <w:right w:val="nil"/>
          <w:between w:val="nil"/>
        </w:pBdr>
        <w:spacing w:after="280"/>
        <w:ind w:right="0"/>
        <w:rPr>
          <w:rFonts w:ascii="BBVABentonSans" w:eastAsia="BBVABentonSans" w:hAnsi="BBVABentonSans" w:cs="BBVABentonSans"/>
          <w:color w:val="02A5A5"/>
          <w:sz w:val="48"/>
          <w:szCs w:val="48"/>
          <w:lang w:val="es-CO"/>
        </w:rPr>
      </w:pPr>
      <w:r w:rsidRPr="002620E6">
        <w:rPr>
          <w:rFonts w:ascii="BBVABentonSans" w:eastAsia="BBVABentonSans" w:hAnsi="BBVABentonSans" w:cs="BBVABentonSans"/>
          <w:color w:val="02A5A5"/>
          <w:sz w:val="48"/>
          <w:szCs w:val="48"/>
          <w:lang w:val="es-CO"/>
        </w:rPr>
        <w:t>BBVA renueva su oferta para multinac</w:t>
      </w:r>
      <w:r>
        <w:rPr>
          <w:rFonts w:ascii="BBVABentonSans" w:eastAsia="BBVABentonSans" w:hAnsi="BBVABentonSans" w:cs="BBVABentonSans"/>
          <w:color w:val="02A5A5"/>
          <w:sz w:val="48"/>
          <w:szCs w:val="48"/>
          <w:lang w:val="es-CO"/>
        </w:rPr>
        <w:t>ionales con una solución de</w:t>
      </w:r>
      <w:r w:rsidRPr="002620E6">
        <w:rPr>
          <w:rFonts w:ascii="BBVABentonSans" w:eastAsia="BBVABentonSans" w:hAnsi="BBVABentonSans" w:cs="BBVABentonSans"/>
          <w:color w:val="02A5A5"/>
          <w:sz w:val="48"/>
          <w:szCs w:val="48"/>
          <w:lang w:val="es-CO"/>
        </w:rPr>
        <w:t xml:space="preserve"> tesorería global </w:t>
      </w:r>
    </w:p>
    <w:p w:rsidR="006E41A9" w:rsidRPr="00C813F6" w:rsidRDefault="002620E6">
      <w:pPr>
        <w:widowControl/>
        <w:numPr>
          <w:ilvl w:val="0"/>
          <w:numId w:val="1"/>
        </w:numPr>
        <w:pBdr>
          <w:top w:val="nil"/>
          <w:left w:val="nil"/>
          <w:bottom w:val="nil"/>
          <w:right w:val="nil"/>
          <w:between w:val="nil"/>
        </w:pBdr>
        <w:spacing w:after="280"/>
        <w:ind w:right="0"/>
        <w:rPr>
          <w:rFonts w:ascii="BBVABentonSans" w:eastAsia="BBVABentonSans" w:hAnsi="BBVABentonSans" w:cs="BBVABentonSans"/>
          <w:color w:val="121212"/>
          <w:lang w:val="es-CO"/>
        </w:rPr>
      </w:pPr>
      <w:r w:rsidRPr="002620E6">
        <w:rPr>
          <w:rFonts w:ascii="BBVABentonSans" w:eastAsia="BBVABentonSans" w:hAnsi="BBVABentonSans" w:cs="BBVABentonSans"/>
          <w:b/>
          <w:color w:val="219899" w:themeColor="accent3" w:themeShade="BF"/>
          <w:lang w:val="es-CO"/>
        </w:rPr>
        <w:t xml:space="preserve">BBVA </w:t>
      </w:r>
      <w:proofErr w:type="spellStart"/>
      <w:r w:rsidRPr="002620E6">
        <w:rPr>
          <w:rFonts w:ascii="BBVABentonSans" w:eastAsia="BBVABentonSans" w:hAnsi="BBVABentonSans" w:cs="BBVABentonSans"/>
          <w:b/>
          <w:color w:val="219899" w:themeColor="accent3" w:themeShade="BF"/>
          <w:lang w:val="es-CO"/>
        </w:rPr>
        <w:t>Pivot</w:t>
      </w:r>
      <w:proofErr w:type="spellEnd"/>
      <w:r w:rsidRPr="002620E6">
        <w:rPr>
          <w:rFonts w:ascii="BBVABentonSans" w:eastAsia="BBVABentonSans" w:hAnsi="BBVABentonSans" w:cs="BBVABentonSans"/>
          <w:b/>
          <w:color w:val="219899" w:themeColor="accent3" w:themeShade="BF"/>
          <w:lang w:val="es-CO"/>
        </w:rPr>
        <w:t xml:space="preserve"> es la nueva herramienta que simplifica la gestión de tesorería</w:t>
      </w:r>
      <w:r w:rsidRPr="002620E6">
        <w:rPr>
          <w:rFonts w:ascii="BBVABentonSans" w:eastAsia="BBVABentonSans" w:hAnsi="BBVABentonSans" w:cs="BBVABentonSans"/>
          <w:color w:val="219899" w:themeColor="accent3" w:themeShade="BF"/>
          <w:lang w:val="es-CO"/>
        </w:rPr>
        <w:t xml:space="preserve"> </w:t>
      </w:r>
      <w:r>
        <w:rPr>
          <w:rFonts w:ascii="BBVABentonSans" w:eastAsia="BBVABentonSans" w:hAnsi="BBVABentonSans" w:cs="BBVABentonSans"/>
          <w:color w:val="121212"/>
          <w:lang w:val="es-CO"/>
        </w:rPr>
        <w:t xml:space="preserve">para las empresas con presencia multinacional. </w:t>
      </w:r>
    </w:p>
    <w:p w:rsidR="006E41A9" w:rsidRPr="00C813F6" w:rsidRDefault="002620E6">
      <w:pPr>
        <w:widowControl/>
        <w:numPr>
          <w:ilvl w:val="0"/>
          <w:numId w:val="1"/>
        </w:numPr>
        <w:pBdr>
          <w:top w:val="nil"/>
          <w:left w:val="nil"/>
          <w:bottom w:val="nil"/>
          <w:right w:val="nil"/>
          <w:between w:val="nil"/>
        </w:pBdr>
        <w:spacing w:after="280"/>
        <w:ind w:right="0"/>
        <w:rPr>
          <w:rFonts w:ascii="BBVABentonSans" w:eastAsia="BBVABentonSans" w:hAnsi="BBVABentonSans" w:cs="BBVABentonSans"/>
          <w:color w:val="121212"/>
          <w:lang w:val="es-CO"/>
        </w:rPr>
      </w:pPr>
      <w:r>
        <w:rPr>
          <w:rFonts w:ascii="BBVABentonSans" w:eastAsia="BBVABentonSans" w:hAnsi="BBVABentonSans" w:cs="BBVABentonSans"/>
          <w:color w:val="121212"/>
          <w:lang w:val="es-CO"/>
        </w:rPr>
        <w:t xml:space="preserve">El servicio está operativo en </w:t>
      </w:r>
      <w:r w:rsidRPr="002620E6">
        <w:rPr>
          <w:rFonts w:ascii="BBVABentonSans" w:eastAsia="BBVABentonSans" w:hAnsi="BBVABentonSans" w:cs="BBVABentonSans"/>
          <w:b/>
          <w:color w:val="219899" w:themeColor="accent3" w:themeShade="BF"/>
          <w:lang w:val="es-CO"/>
        </w:rPr>
        <w:t xml:space="preserve">América del Sur, Europa, México, Estados Unidos y Hong Kong </w:t>
      </w:r>
      <w:r>
        <w:rPr>
          <w:rFonts w:ascii="BBVABentonSans" w:eastAsia="BBVABentonSans" w:hAnsi="BBVABentonSans" w:cs="BBVABentonSans"/>
          <w:color w:val="121212"/>
          <w:lang w:val="es-CO"/>
        </w:rPr>
        <w:t>y tiene la capacidad de transar con 24 divisas.</w:t>
      </w:r>
    </w:p>
    <w:p w:rsidR="006E41A9" w:rsidRDefault="002620E6" w:rsidP="002620E6">
      <w:pPr>
        <w:widowControl/>
        <w:numPr>
          <w:ilvl w:val="0"/>
          <w:numId w:val="1"/>
        </w:numPr>
        <w:pBdr>
          <w:top w:val="nil"/>
          <w:left w:val="nil"/>
          <w:bottom w:val="nil"/>
          <w:right w:val="nil"/>
          <w:between w:val="nil"/>
        </w:pBdr>
        <w:spacing w:after="280"/>
        <w:ind w:right="0"/>
        <w:rPr>
          <w:rFonts w:ascii="BBVABentonSans" w:eastAsia="BBVABentonSans" w:hAnsi="BBVABentonSans" w:cs="BBVABentonSans"/>
          <w:color w:val="121212"/>
          <w:lang w:val="es-CO"/>
        </w:rPr>
      </w:pPr>
      <w:r w:rsidRPr="002620E6">
        <w:rPr>
          <w:rFonts w:ascii="BBVABentonSans" w:eastAsia="BBVABentonSans" w:hAnsi="BBVABentonSans" w:cs="BBVABentonSans"/>
          <w:b/>
          <w:color w:val="219899" w:themeColor="accent3" w:themeShade="BF"/>
          <w:lang w:val="es-CO"/>
        </w:rPr>
        <w:t xml:space="preserve">La nueva herramienta mantiene un estándar de seguridad garantizado </w:t>
      </w:r>
      <w:r w:rsidRPr="002620E6">
        <w:rPr>
          <w:rFonts w:ascii="BBVABentonSans" w:eastAsia="BBVABentonSans" w:hAnsi="BBVABentonSans" w:cs="BBVABentonSans"/>
          <w:color w:val="121212"/>
          <w:lang w:val="es-CO"/>
        </w:rPr>
        <w:t>mediante firmas de doble autenticación y envíos de ficheros con protocolos seguros.</w:t>
      </w:r>
    </w:p>
    <w:p w:rsidR="002620E6" w:rsidRPr="002620E6" w:rsidRDefault="002620E6" w:rsidP="002620E6">
      <w:pPr>
        <w:widowControl/>
        <w:numPr>
          <w:ilvl w:val="0"/>
          <w:numId w:val="1"/>
        </w:numPr>
        <w:pBdr>
          <w:top w:val="nil"/>
          <w:left w:val="nil"/>
          <w:bottom w:val="nil"/>
          <w:right w:val="nil"/>
          <w:between w:val="nil"/>
        </w:pBdr>
        <w:spacing w:after="280"/>
        <w:ind w:right="0"/>
        <w:rPr>
          <w:rFonts w:ascii="BBVABentonSans" w:eastAsia="BBVABentonSans" w:hAnsi="BBVABentonSans" w:cs="BBVABentonSans"/>
          <w:color w:val="121212"/>
          <w:lang w:val="es-CO"/>
        </w:rPr>
      </w:pPr>
      <w:r w:rsidRPr="002620E6">
        <w:rPr>
          <w:rFonts w:ascii="BBVABentonSans" w:eastAsia="BBVABentonSans" w:hAnsi="BBVABentonSans" w:cs="BBVABentonSans"/>
          <w:b/>
          <w:color w:val="219899" w:themeColor="accent3" w:themeShade="BF"/>
          <w:lang w:val="es-CO"/>
        </w:rPr>
        <w:t>Más de 975 de clientes empresariales de BBVA</w:t>
      </w:r>
      <w:r w:rsidRPr="002620E6">
        <w:rPr>
          <w:rFonts w:ascii="BBVABentonSans" w:eastAsia="BBVABentonSans" w:hAnsi="BBVABentonSans" w:cs="BBVABentonSans"/>
          <w:color w:val="121212"/>
          <w:lang w:val="es-CO"/>
        </w:rPr>
        <w:t xml:space="preserve"> ya tienen acceso a este ecosistema</w:t>
      </w:r>
      <w:r>
        <w:rPr>
          <w:rFonts w:ascii="BBVABentonSans" w:eastAsia="BBVABentonSans" w:hAnsi="BBVABentonSans" w:cs="BBVABentonSans"/>
          <w:color w:val="121212"/>
          <w:lang w:val="es-CO"/>
        </w:rPr>
        <w:t xml:space="preserve"> y ahora tendrán más beneficios.</w:t>
      </w:r>
    </w:p>
    <w:p w:rsidR="002620E6" w:rsidRPr="002620E6" w:rsidRDefault="002620E6">
      <w:pPr>
        <w:widowControl/>
        <w:pBdr>
          <w:top w:val="nil"/>
          <w:left w:val="nil"/>
          <w:bottom w:val="nil"/>
          <w:right w:val="nil"/>
          <w:between w:val="nil"/>
        </w:pBdr>
        <w:spacing w:before="480"/>
        <w:rPr>
          <w:rFonts w:ascii="BBVABentonSans" w:eastAsia="BBVABentonSans" w:hAnsi="BBVABentonSans" w:cs="BBVABentonSans"/>
          <w:color w:val="auto"/>
          <w:lang w:val="es-CO"/>
        </w:rPr>
      </w:pPr>
      <w:r w:rsidRPr="002620E6">
        <w:rPr>
          <w:rFonts w:ascii="BBVABentonSans" w:eastAsia="BBVABentonSans" w:hAnsi="BBVABentonSans" w:cs="BBVABentonSans"/>
          <w:color w:val="auto"/>
          <w:lang w:val="es-CO"/>
        </w:rPr>
        <w:t xml:space="preserve">BBVA renueva su oferta de servicios para empresas con BBVA </w:t>
      </w:r>
      <w:proofErr w:type="spellStart"/>
      <w:r w:rsidRPr="002620E6">
        <w:rPr>
          <w:rFonts w:ascii="BBVABentonSans" w:eastAsia="BBVABentonSans" w:hAnsi="BBVABentonSans" w:cs="BBVABentonSans"/>
          <w:color w:val="auto"/>
          <w:lang w:val="es-CO"/>
        </w:rPr>
        <w:t>Pivot</w:t>
      </w:r>
      <w:proofErr w:type="spellEnd"/>
      <w:r w:rsidRPr="002620E6">
        <w:rPr>
          <w:rFonts w:ascii="BBVABentonSans" w:eastAsia="BBVABentonSans" w:hAnsi="BBVABentonSans" w:cs="BBVABentonSans"/>
          <w:color w:val="auto"/>
          <w:lang w:val="es-CO"/>
        </w:rPr>
        <w:t xml:space="preserve">, un ecosistema que simplifica la gestión de la tesorería de las compañías con presencia multinacional. De esta forma, las empresas clientes de BBVA en España y América Latina tendrán una experiencia fácil que unifica el acceso a todos los pagos y cobros con la seguridad y garantías de la entidad. </w:t>
      </w:r>
    </w:p>
    <w:p w:rsidR="002620E6" w:rsidRPr="002620E6" w:rsidRDefault="002620E6" w:rsidP="002620E6">
      <w:pPr>
        <w:widowControl/>
        <w:pBdr>
          <w:top w:val="nil"/>
          <w:left w:val="nil"/>
          <w:bottom w:val="nil"/>
          <w:right w:val="nil"/>
          <w:between w:val="nil"/>
        </w:pBdr>
        <w:spacing w:before="120"/>
        <w:rPr>
          <w:rFonts w:ascii="BBVABentonSans" w:eastAsia="BBVABentonSans" w:hAnsi="BBVABentonSans" w:cs="BBVABentonSans"/>
          <w:color w:val="4D4D4D" w:themeColor="background2" w:themeTint="BF"/>
          <w:lang w:val="es-CO"/>
        </w:rPr>
      </w:pPr>
      <w:r w:rsidRPr="002620E6">
        <w:rPr>
          <w:rFonts w:ascii="BBVABentonSans" w:eastAsia="BBVABentonSans" w:hAnsi="BBVABentonSans" w:cs="BBVABentonSans"/>
          <w:color w:val="4D4D4D" w:themeColor="background2" w:themeTint="BF"/>
          <w:lang w:val="es-CO"/>
        </w:rPr>
        <w:t xml:space="preserve">La gestión de la tesorería de las empresas es compleja, especialmente cuando tienen presencia en diferentes países. En esos casos, se enfrentan a diferentes horarios de liquidación, diversidad de regulaciones bancarias y una compleja administración de divisas. </w:t>
      </w:r>
    </w:p>
    <w:p w:rsidR="002620E6" w:rsidRPr="002620E6" w:rsidRDefault="002620E6" w:rsidP="002620E6">
      <w:pPr>
        <w:widowControl/>
        <w:pBdr>
          <w:top w:val="nil"/>
          <w:left w:val="nil"/>
          <w:bottom w:val="nil"/>
          <w:right w:val="nil"/>
          <w:between w:val="nil"/>
        </w:pBdr>
        <w:spacing w:before="120"/>
        <w:rPr>
          <w:rFonts w:ascii="BBVABentonSans" w:eastAsia="BBVABentonSans" w:hAnsi="BBVABentonSans" w:cs="BBVABentonSans"/>
          <w:color w:val="4D4D4D" w:themeColor="background2" w:themeTint="BF"/>
          <w:lang w:val="es-CO"/>
        </w:rPr>
      </w:pPr>
      <w:r w:rsidRPr="002620E6">
        <w:rPr>
          <w:rFonts w:ascii="BBVABentonSans" w:eastAsia="BBVABentonSans" w:hAnsi="BBVABentonSans" w:cs="BBVABentonSans"/>
          <w:color w:val="4D4D4D" w:themeColor="background2" w:themeTint="BF"/>
          <w:lang w:val="es-CO"/>
        </w:rPr>
        <w:t xml:space="preserve">BBVA </w:t>
      </w:r>
      <w:proofErr w:type="spellStart"/>
      <w:r w:rsidRPr="002620E6">
        <w:rPr>
          <w:rFonts w:ascii="BBVABentonSans" w:eastAsia="BBVABentonSans" w:hAnsi="BBVABentonSans" w:cs="BBVABentonSans"/>
          <w:color w:val="4D4D4D" w:themeColor="background2" w:themeTint="BF"/>
          <w:lang w:val="es-CO"/>
        </w:rPr>
        <w:t>Pivot</w:t>
      </w:r>
      <w:proofErr w:type="spellEnd"/>
      <w:r w:rsidRPr="002620E6">
        <w:rPr>
          <w:rFonts w:ascii="BBVABentonSans" w:eastAsia="BBVABentonSans" w:hAnsi="BBVABentonSans" w:cs="BBVABentonSans"/>
          <w:color w:val="4D4D4D" w:themeColor="background2" w:themeTint="BF"/>
          <w:lang w:val="es-CO"/>
        </w:rPr>
        <w:t xml:space="preserve"> agrupa el conjunto de soluciones de BBVA para acompañar a las empresas en su actividad internacional y facilitar una gestión más eficiente de su actividad diaria. La solución permite operar de forma centralizada en 15 países y 24 divisas a través de canales directos, SWIFT, web o app; contando además con un acompañamiento experto e integral durante todo el proceso. </w:t>
      </w:r>
    </w:p>
    <w:p w:rsidR="002620E6" w:rsidRPr="002620E6" w:rsidRDefault="002620E6" w:rsidP="002620E6">
      <w:pPr>
        <w:widowControl/>
        <w:pBdr>
          <w:top w:val="nil"/>
          <w:left w:val="nil"/>
          <w:bottom w:val="nil"/>
          <w:right w:val="nil"/>
          <w:between w:val="nil"/>
        </w:pBdr>
        <w:spacing w:before="120"/>
        <w:rPr>
          <w:rFonts w:ascii="BBVABentonSans" w:eastAsia="BBVABentonSans" w:hAnsi="BBVABentonSans" w:cs="BBVABentonSans"/>
          <w:color w:val="4D4D4D" w:themeColor="background2" w:themeTint="BF"/>
          <w:lang w:val="es-CO"/>
        </w:rPr>
      </w:pPr>
      <w:r w:rsidRPr="002620E6">
        <w:rPr>
          <w:rFonts w:ascii="BBVABentonSans" w:eastAsia="BBVABentonSans" w:hAnsi="BBVABentonSans" w:cs="BBVABentonSans"/>
          <w:color w:val="4D4D4D" w:themeColor="background2" w:themeTint="BF"/>
          <w:lang w:val="es-CO"/>
        </w:rPr>
        <w:t xml:space="preserve">El servicio para empresas está operativo en América del Sur (Argentina, Perú, Colombia, Uruguay, Venezuela y a través de su socio en Chile), Europa (España, Turquía, Bélgica, Francia, Portugal y Reino Unido) México, Estados Unidos y Hong Kong. </w:t>
      </w:r>
    </w:p>
    <w:p w:rsidR="002620E6" w:rsidRPr="002620E6" w:rsidRDefault="002620E6" w:rsidP="002620E6">
      <w:pPr>
        <w:widowControl/>
        <w:pBdr>
          <w:top w:val="nil"/>
          <w:left w:val="nil"/>
          <w:bottom w:val="nil"/>
          <w:right w:val="nil"/>
          <w:between w:val="nil"/>
        </w:pBdr>
        <w:spacing w:before="120"/>
        <w:rPr>
          <w:rFonts w:ascii="BBVABentonSans" w:eastAsia="BBVABentonSans" w:hAnsi="BBVABentonSans" w:cs="BBVABentonSans"/>
          <w:color w:val="4D4D4D" w:themeColor="background2" w:themeTint="BF"/>
          <w:lang w:val="es-CO"/>
        </w:rPr>
      </w:pPr>
      <w:r w:rsidRPr="002620E6">
        <w:rPr>
          <w:rFonts w:ascii="BBVABentonSans" w:eastAsia="BBVABentonSans" w:hAnsi="BBVABentonSans" w:cs="BBVABentonSans"/>
          <w:color w:val="4D4D4D" w:themeColor="background2" w:themeTint="BF"/>
          <w:lang w:val="es-CO"/>
        </w:rPr>
        <w:t xml:space="preserve">La intención es que cualquier empresa </w:t>
      </w:r>
      <w:r>
        <w:rPr>
          <w:rFonts w:ascii="BBVABentonSans" w:eastAsia="BBVABentonSans" w:hAnsi="BBVABentonSans" w:cs="BBVABentonSans"/>
          <w:color w:val="4D4D4D" w:themeColor="background2" w:themeTint="BF"/>
          <w:lang w:val="es-CO"/>
        </w:rPr>
        <w:t xml:space="preserve">multinacional </w:t>
      </w:r>
      <w:r w:rsidRPr="002620E6">
        <w:rPr>
          <w:rFonts w:ascii="BBVABentonSans" w:eastAsia="BBVABentonSans" w:hAnsi="BBVABentonSans" w:cs="BBVABentonSans"/>
          <w:color w:val="4D4D4D" w:themeColor="background2" w:themeTint="BF"/>
          <w:lang w:val="es-CO"/>
        </w:rPr>
        <w:t>pueda llevar las finanzas de su negocio con sencillez con una experiencia digital de usuario única y homogénea, independientemente del tipo de operación que realiza, la divisa con que trabaja, el horario o la regulación de la geografía en la que se encuentra.</w:t>
      </w:r>
    </w:p>
    <w:p w:rsidR="002620E6" w:rsidRPr="002620E6" w:rsidRDefault="002620E6" w:rsidP="002620E6">
      <w:pPr>
        <w:widowControl/>
        <w:pBdr>
          <w:top w:val="nil"/>
          <w:left w:val="nil"/>
          <w:bottom w:val="nil"/>
          <w:right w:val="nil"/>
          <w:between w:val="nil"/>
        </w:pBdr>
        <w:spacing w:before="120"/>
        <w:rPr>
          <w:rFonts w:ascii="BBVABentonSans" w:eastAsia="BBVABentonSans" w:hAnsi="BBVABentonSans" w:cs="BBVABentonSans"/>
          <w:color w:val="4D4D4D" w:themeColor="background2" w:themeTint="BF"/>
          <w:lang w:val="es-CO"/>
        </w:rPr>
      </w:pPr>
      <w:proofErr w:type="spellStart"/>
      <w:r w:rsidRPr="002620E6">
        <w:rPr>
          <w:rFonts w:ascii="BBVABentonSans" w:eastAsia="BBVABentonSans" w:hAnsi="BBVABentonSans" w:cs="BBVABentonSans"/>
          <w:color w:val="4D4D4D" w:themeColor="background2" w:themeTint="BF"/>
          <w:lang w:val="es-CO"/>
        </w:rPr>
        <w:lastRenderedPageBreak/>
        <w:t>Onur</w:t>
      </w:r>
      <w:proofErr w:type="spellEnd"/>
      <w:r w:rsidRPr="002620E6">
        <w:rPr>
          <w:rFonts w:ascii="BBVABentonSans" w:eastAsia="BBVABentonSans" w:hAnsi="BBVABentonSans" w:cs="BBVABentonSans"/>
          <w:color w:val="4D4D4D" w:themeColor="background2" w:themeTint="BF"/>
          <w:lang w:val="es-CO"/>
        </w:rPr>
        <w:t xml:space="preserve"> </w:t>
      </w:r>
      <w:proofErr w:type="spellStart"/>
      <w:r w:rsidRPr="002620E6">
        <w:rPr>
          <w:rFonts w:ascii="BBVABentonSans" w:eastAsia="BBVABentonSans" w:hAnsi="BBVABentonSans" w:cs="BBVABentonSans"/>
          <w:color w:val="4D4D4D" w:themeColor="background2" w:themeTint="BF"/>
          <w:lang w:val="es-CO"/>
        </w:rPr>
        <w:t>Genç</w:t>
      </w:r>
      <w:proofErr w:type="spellEnd"/>
      <w:r w:rsidRPr="002620E6">
        <w:rPr>
          <w:rFonts w:ascii="BBVABentonSans" w:eastAsia="BBVABentonSans" w:hAnsi="BBVABentonSans" w:cs="BBVABentonSans"/>
          <w:color w:val="4D4D4D" w:themeColor="background2" w:themeTint="BF"/>
          <w:lang w:val="es-CO"/>
        </w:rPr>
        <w:t>, cons</w:t>
      </w:r>
      <w:r>
        <w:rPr>
          <w:rFonts w:ascii="BBVABentonSans" w:eastAsia="BBVABentonSans" w:hAnsi="BBVABentonSans" w:cs="BBVABentonSans"/>
          <w:color w:val="4D4D4D" w:themeColor="background2" w:themeTint="BF"/>
          <w:lang w:val="es-CO"/>
        </w:rPr>
        <w:t>ejero delegado de BBVA, explica que “c</w:t>
      </w:r>
      <w:r w:rsidRPr="002620E6">
        <w:rPr>
          <w:rFonts w:ascii="BBVABentonSans" w:eastAsia="BBVABentonSans" w:hAnsi="BBVABentonSans" w:cs="BBVABentonSans"/>
          <w:color w:val="4D4D4D" w:themeColor="background2" w:themeTint="BF"/>
          <w:lang w:val="es-CO"/>
        </w:rPr>
        <w:t xml:space="preserve">on BBVA </w:t>
      </w:r>
      <w:proofErr w:type="spellStart"/>
      <w:r w:rsidRPr="002620E6">
        <w:rPr>
          <w:rFonts w:ascii="BBVABentonSans" w:eastAsia="BBVABentonSans" w:hAnsi="BBVABentonSans" w:cs="BBVABentonSans"/>
          <w:color w:val="4D4D4D" w:themeColor="background2" w:themeTint="BF"/>
          <w:lang w:val="es-CO"/>
        </w:rPr>
        <w:t>Pivot</w:t>
      </w:r>
      <w:proofErr w:type="spellEnd"/>
      <w:r w:rsidRPr="002620E6">
        <w:rPr>
          <w:rFonts w:ascii="BBVABentonSans" w:eastAsia="BBVABentonSans" w:hAnsi="BBVABentonSans" w:cs="BBVABentonSans"/>
          <w:color w:val="4D4D4D" w:themeColor="background2" w:themeTint="BF"/>
          <w:lang w:val="es-CO"/>
        </w:rPr>
        <w:t xml:space="preserve">, queremos ser los socios de nuestros clientes en la expansión de su negocio a nuevos mercados y reforzarnos como su banco global”.  </w:t>
      </w:r>
    </w:p>
    <w:p w:rsidR="002620E6" w:rsidRPr="002620E6" w:rsidRDefault="002620E6" w:rsidP="002620E6">
      <w:pPr>
        <w:widowControl/>
        <w:pBdr>
          <w:top w:val="nil"/>
          <w:left w:val="nil"/>
          <w:bottom w:val="nil"/>
          <w:right w:val="nil"/>
          <w:between w:val="nil"/>
        </w:pBdr>
        <w:spacing w:before="120"/>
        <w:rPr>
          <w:rFonts w:ascii="BBVABentonSans" w:eastAsia="BBVABentonSans" w:hAnsi="BBVABentonSans" w:cs="BBVABentonSans"/>
          <w:color w:val="4D4D4D" w:themeColor="background2" w:themeTint="BF"/>
          <w:lang w:val="es-CO"/>
        </w:rPr>
      </w:pPr>
      <w:r w:rsidRPr="002620E6">
        <w:rPr>
          <w:rFonts w:ascii="BBVABentonSans" w:eastAsia="BBVABentonSans" w:hAnsi="BBVABentonSans" w:cs="BBVABentonSans"/>
          <w:color w:val="4D4D4D" w:themeColor="background2" w:themeTint="BF"/>
          <w:lang w:val="es-CO"/>
        </w:rPr>
        <w:t xml:space="preserve">Uno de los elementos diferenciadores de BBVA </w:t>
      </w:r>
      <w:proofErr w:type="spellStart"/>
      <w:r w:rsidRPr="002620E6">
        <w:rPr>
          <w:rFonts w:ascii="BBVABentonSans" w:eastAsia="BBVABentonSans" w:hAnsi="BBVABentonSans" w:cs="BBVABentonSans"/>
          <w:color w:val="4D4D4D" w:themeColor="background2" w:themeTint="BF"/>
          <w:lang w:val="es-CO"/>
        </w:rPr>
        <w:t>Pivot</w:t>
      </w:r>
      <w:proofErr w:type="spellEnd"/>
      <w:r w:rsidRPr="002620E6">
        <w:rPr>
          <w:rFonts w:ascii="BBVABentonSans" w:eastAsia="BBVABentonSans" w:hAnsi="BBVABentonSans" w:cs="BBVABentonSans"/>
          <w:color w:val="4D4D4D" w:themeColor="background2" w:themeTint="BF"/>
          <w:lang w:val="es-CO"/>
        </w:rPr>
        <w:t xml:space="preserve"> es que para empezar a operar solo se necesita un único contrato que da acceso a cualquier servicio global sin necesidad de firmar un documento adicional para cada uno de ellos. Además, BBVA </w:t>
      </w:r>
      <w:proofErr w:type="spellStart"/>
      <w:r w:rsidRPr="002620E6">
        <w:rPr>
          <w:rFonts w:ascii="BBVABentonSans" w:eastAsia="BBVABentonSans" w:hAnsi="BBVABentonSans" w:cs="BBVABentonSans"/>
          <w:color w:val="4D4D4D" w:themeColor="background2" w:themeTint="BF"/>
          <w:lang w:val="es-CO"/>
        </w:rPr>
        <w:t>Pivot</w:t>
      </w:r>
      <w:proofErr w:type="spellEnd"/>
      <w:r w:rsidRPr="002620E6">
        <w:rPr>
          <w:rFonts w:ascii="BBVABentonSans" w:eastAsia="BBVABentonSans" w:hAnsi="BBVABentonSans" w:cs="BBVABentonSans"/>
          <w:color w:val="4D4D4D" w:themeColor="background2" w:themeTint="BF"/>
          <w:lang w:val="es-CO"/>
        </w:rPr>
        <w:t xml:space="preserve"> mantiene un estándar de seguridad garantizado mediante firmas de doble autenticación y envíos de ficheros con protocolos seguros. </w:t>
      </w:r>
    </w:p>
    <w:p w:rsidR="002620E6" w:rsidRPr="002620E6" w:rsidRDefault="002620E6" w:rsidP="00DB617F">
      <w:pPr>
        <w:widowControl/>
        <w:pBdr>
          <w:top w:val="nil"/>
          <w:left w:val="nil"/>
          <w:bottom w:val="nil"/>
          <w:right w:val="nil"/>
          <w:between w:val="nil"/>
        </w:pBdr>
        <w:spacing w:before="120"/>
        <w:rPr>
          <w:rFonts w:ascii="BBVABentonSans" w:eastAsia="BBVABentonSans" w:hAnsi="BBVABentonSans" w:cs="BBVABentonSans"/>
          <w:color w:val="4D4D4D" w:themeColor="background2" w:themeTint="BF"/>
          <w:lang w:val="es-CO"/>
        </w:rPr>
      </w:pPr>
      <w:r w:rsidRPr="002620E6">
        <w:rPr>
          <w:rFonts w:ascii="BBVABentonSans" w:eastAsia="BBVABentonSans" w:hAnsi="BBVABentonSans" w:cs="BBVABentonSans"/>
          <w:color w:val="4D4D4D" w:themeColor="background2" w:themeTint="BF"/>
          <w:lang w:val="es-CO"/>
        </w:rPr>
        <w:t xml:space="preserve">“Nuestra apuesta digital, permite resolver toda la operativa desde un único punto, pero además, se combina con un equipo de profesionales, coordinados de manera global, para acompañar a las empresas en sus negocios multinacionales”, subraya David Puente, responsable global de </w:t>
      </w:r>
      <w:proofErr w:type="spellStart"/>
      <w:r w:rsidRPr="002620E6">
        <w:rPr>
          <w:rFonts w:ascii="BBVABentonSans" w:eastAsia="BBVABentonSans" w:hAnsi="BBVABentonSans" w:cs="BBVABentonSans"/>
          <w:color w:val="4D4D4D" w:themeColor="background2" w:themeTint="BF"/>
          <w:lang w:val="es-CO"/>
        </w:rPr>
        <w:t>Client</w:t>
      </w:r>
      <w:proofErr w:type="spellEnd"/>
      <w:r w:rsidRPr="002620E6">
        <w:rPr>
          <w:rFonts w:ascii="BBVABentonSans" w:eastAsia="BBVABentonSans" w:hAnsi="BBVABentonSans" w:cs="BBVABentonSans"/>
          <w:color w:val="4D4D4D" w:themeColor="background2" w:themeTint="BF"/>
          <w:lang w:val="es-CO"/>
        </w:rPr>
        <w:t xml:space="preserve"> </w:t>
      </w:r>
      <w:proofErr w:type="spellStart"/>
      <w:r w:rsidRPr="002620E6">
        <w:rPr>
          <w:rFonts w:ascii="BBVABentonSans" w:eastAsia="BBVABentonSans" w:hAnsi="BBVABentonSans" w:cs="BBVABentonSans"/>
          <w:color w:val="4D4D4D" w:themeColor="background2" w:themeTint="BF"/>
          <w:lang w:val="es-CO"/>
        </w:rPr>
        <w:t>Solutions</w:t>
      </w:r>
      <w:proofErr w:type="spellEnd"/>
      <w:r w:rsidRPr="002620E6">
        <w:rPr>
          <w:rFonts w:ascii="BBVABentonSans" w:eastAsia="BBVABentonSans" w:hAnsi="BBVABentonSans" w:cs="BBVABentonSans"/>
          <w:color w:val="4D4D4D" w:themeColor="background2" w:themeTint="BF"/>
          <w:lang w:val="es-CO"/>
        </w:rPr>
        <w:t xml:space="preserve"> de BBVA.</w:t>
      </w:r>
      <w:bookmarkStart w:id="0" w:name="_GoBack"/>
      <w:bookmarkEnd w:id="0"/>
    </w:p>
    <w:p w:rsidR="002620E6" w:rsidRPr="002620E6" w:rsidRDefault="002620E6" w:rsidP="002620E6">
      <w:pPr>
        <w:widowControl/>
        <w:pBdr>
          <w:top w:val="nil"/>
          <w:left w:val="nil"/>
          <w:bottom w:val="nil"/>
          <w:right w:val="nil"/>
          <w:between w:val="nil"/>
        </w:pBdr>
        <w:spacing w:before="120"/>
        <w:rPr>
          <w:rFonts w:ascii="BBVABentonSans" w:eastAsia="BBVABentonSans" w:hAnsi="BBVABentonSans" w:cs="BBVABentonSans"/>
          <w:color w:val="4D4D4D" w:themeColor="background2" w:themeTint="BF"/>
          <w:lang w:val="es-CO"/>
        </w:rPr>
      </w:pPr>
      <w:r w:rsidRPr="002620E6">
        <w:rPr>
          <w:rFonts w:ascii="BBVABentonSans" w:eastAsia="BBVABentonSans" w:hAnsi="BBVABentonSans" w:cs="BBVABentonSans"/>
          <w:color w:val="4D4D4D" w:themeColor="background2" w:themeTint="BF"/>
          <w:lang w:val="es-CO"/>
        </w:rPr>
        <w:t xml:space="preserve">Actualmente, el banco gestiona más de 65 millones de transacciones al año por valor superior a 370.000 millones de euros. Más de 975 de clientes empresariales de BBVA ya tienen acceso a este ecosistema, desde pequeñas empresas en desarrollo internacional hasta grandes multinacionales de sectores como las </w:t>
      </w:r>
      <w:r>
        <w:rPr>
          <w:rFonts w:ascii="BBVABentonSans" w:eastAsia="BBVABentonSans" w:hAnsi="BBVABentonSans" w:cs="BBVABentonSans"/>
          <w:color w:val="4D4D4D" w:themeColor="background2" w:themeTint="BF"/>
          <w:lang w:val="es-CO"/>
        </w:rPr>
        <w:t>telecomunicaciones o la energía.</w:t>
      </w:r>
    </w:p>
    <w:p w:rsidR="006E41A9" w:rsidRPr="002620E6" w:rsidRDefault="00C92755" w:rsidP="002620E6">
      <w:pPr>
        <w:widowControl/>
        <w:pBdr>
          <w:top w:val="nil"/>
          <w:left w:val="nil"/>
          <w:bottom w:val="nil"/>
          <w:right w:val="nil"/>
          <w:between w:val="nil"/>
        </w:pBdr>
        <w:spacing w:before="120" w:line="240" w:lineRule="auto"/>
        <w:ind w:right="0"/>
        <w:rPr>
          <w:rFonts w:ascii="BBVABentonSans" w:eastAsia="BBVABentonSans" w:hAnsi="BBVABentonSans" w:cs="BBVABentonSans"/>
          <w:color w:val="072146"/>
          <w:sz w:val="36"/>
          <w:szCs w:val="36"/>
          <w:lang w:val="es-CO"/>
        </w:rPr>
      </w:pPr>
      <w:r w:rsidRPr="002620E6">
        <w:rPr>
          <w:color w:val="4D4D4D" w:themeColor="background2" w:themeTint="BF"/>
          <w:lang w:val="es-CO"/>
        </w:rPr>
        <w:br w:type="page"/>
      </w:r>
      <w:r w:rsidRPr="002620E6">
        <w:rPr>
          <w:rFonts w:ascii="BBVABentonSans" w:eastAsia="BBVABentonSans" w:hAnsi="BBVABentonSans" w:cs="BBVABentonSans"/>
          <w:color w:val="072146"/>
          <w:sz w:val="36"/>
          <w:szCs w:val="36"/>
          <w:lang w:val="es-CO"/>
        </w:rPr>
        <w:lastRenderedPageBreak/>
        <w:t xml:space="preserve">Acerca de BBVA </w:t>
      </w:r>
    </w:p>
    <w:p w:rsidR="006E41A9" w:rsidRDefault="00C92755">
      <w:pPr>
        <w:widowControl/>
        <w:spacing w:before="480" w:line="240" w:lineRule="auto"/>
        <w:ind w:right="0"/>
        <w:rPr>
          <w:rFonts w:ascii="BBVABentonSans" w:eastAsia="BBVABentonSans" w:hAnsi="BBVABentonSans" w:cs="BBVABentonSans"/>
          <w:color w:val="072146"/>
          <w:sz w:val="36"/>
          <w:szCs w:val="36"/>
        </w:rPr>
      </w:pPr>
      <w:r>
        <w:rPr>
          <w:rFonts w:ascii="BBVABentonSans" w:eastAsia="BBVABentonSans" w:hAnsi="BBVABentonSans" w:cs="BBVABentonSans"/>
          <w:noProof/>
          <w:color w:val="072146"/>
          <w:sz w:val="36"/>
          <w:szCs w:val="36"/>
          <w:lang w:val="es-CO" w:eastAsia="es-CO"/>
        </w:rPr>
        <w:drawing>
          <wp:inline distT="114300" distB="114300" distL="114300" distR="114300">
            <wp:extent cx="6620200" cy="43434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20200" cy="4343400"/>
                    </a:xfrm>
                    <a:prstGeom prst="rect">
                      <a:avLst/>
                    </a:prstGeom>
                    <a:ln/>
                  </pic:spPr>
                </pic:pic>
              </a:graphicData>
            </a:graphic>
          </wp:inline>
        </w:drawing>
      </w:r>
    </w:p>
    <w:p w:rsidR="006E41A9" w:rsidRDefault="006E41A9">
      <w:bookmarkStart w:id="1" w:name="_heading=h.gjdgxs" w:colFirst="0" w:colLast="0"/>
      <w:bookmarkEnd w:id="1"/>
    </w:p>
    <w:p w:rsidR="006E41A9" w:rsidRPr="00C813F6" w:rsidRDefault="00C92755">
      <w:pPr>
        <w:pBdr>
          <w:top w:val="nil"/>
          <w:left w:val="nil"/>
          <w:bottom w:val="nil"/>
          <w:right w:val="nil"/>
          <w:between w:val="nil"/>
        </w:pBdr>
        <w:rPr>
          <w:rFonts w:ascii="BBVABentonSans" w:eastAsia="BBVABentonSans" w:hAnsi="BBVABentonSans" w:cs="BBVABentonSans"/>
          <w:color w:val="072146"/>
          <w:sz w:val="22"/>
          <w:szCs w:val="22"/>
          <w:lang w:val="es-CO"/>
        </w:rPr>
      </w:pPr>
      <w:r w:rsidRPr="00C813F6">
        <w:rPr>
          <w:rFonts w:ascii="BBVABentonSans" w:eastAsia="BBVABentonSans" w:hAnsi="BBVABentonSans" w:cs="BBVABentonSans"/>
          <w:color w:val="072146"/>
          <w:sz w:val="22"/>
          <w:szCs w:val="22"/>
          <w:lang w:val="es-CO"/>
        </w:rPr>
        <w:t xml:space="preserve">BBVA es un grupo financiero global fundado en 1857 con una visión centrada en el cliente. Tiene una posición de liderazgo en el mercado español, es la mayor institución financiera de México y cuenta con franquicias líder en América del Sur y la región del </w:t>
      </w:r>
      <w:proofErr w:type="spellStart"/>
      <w:r w:rsidRPr="00C813F6">
        <w:rPr>
          <w:rFonts w:ascii="BBVABentonSans" w:eastAsia="BBVABentonSans" w:hAnsi="BBVABentonSans" w:cs="BBVABentonSans"/>
          <w:color w:val="072146"/>
          <w:sz w:val="22"/>
          <w:szCs w:val="22"/>
          <w:lang w:val="es-CO"/>
        </w:rPr>
        <w:t>Sunbelt</w:t>
      </w:r>
      <w:proofErr w:type="spellEnd"/>
      <w:r w:rsidRPr="00C813F6">
        <w:rPr>
          <w:rFonts w:ascii="BBVABentonSans" w:eastAsia="BBVABentonSans" w:hAnsi="BBVABentonSans" w:cs="BBVABentonSans"/>
          <w:color w:val="072146"/>
          <w:sz w:val="22"/>
          <w:szCs w:val="22"/>
          <w:lang w:val="es-CO"/>
        </w:rPr>
        <w:t xml:space="preserve"> en Estados Unidos. Además, es el primer accionista de </w:t>
      </w:r>
      <w:proofErr w:type="spellStart"/>
      <w:r w:rsidRPr="00C813F6">
        <w:rPr>
          <w:rFonts w:ascii="BBVABentonSans" w:eastAsia="BBVABentonSans" w:hAnsi="BBVABentonSans" w:cs="BBVABentonSans"/>
          <w:color w:val="072146"/>
          <w:sz w:val="22"/>
          <w:szCs w:val="22"/>
          <w:lang w:val="es-CO"/>
        </w:rPr>
        <w:t>Garanti</w:t>
      </w:r>
      <w:proofErr w:type="spellEnd"/>
      <w:r w:rsidRPr="00C813F6">
        <w:rPr>
          <w:rFonts w:ascii="BBVABentonSans" w:eastAsia="BBVABentonSans" w:hAnsi="BBVABentonSans" w:cs="BBVABentonSans"/>
          <w:color w:val="072146"/>
          <w:sz w:val="22"/>
          <w:szCs w:val="22"/>
          <w:lang w:val="es-CO"/>
        </w:rPr>
        <w:t xml:space="preserve"> BBVA, en Turquía. Su propósito es poner al alcance de </w:t>
      </w:r>
      <w:proofErr w:type="gramStart"/>
      <w:r w:rsidRPr="00C813F6">
        <w:rPr>
          <w:rFonts w:ascii="BBVABentonSans" w:eastAsia="BBVABentonSans" w:hAnsi="BBVABentonSans" w:cs="BBVABentonSans"/>
          <w:color w:val="072146"/>
          <w:sz w:val="22"/>
          <w:szCs w:val="22"/>
          <w:lang w:val="es-CO"/>
        </w:rPr>
        <w:t>todos</w:t>
      </w:r>
      <w:proofErr w:type="gramEnd"/>
      <w:r w:rsidRPr="00C813F6">
        <w:rPr>
          <w:rFonts w:ascii="BBVABentonSans" w:eastAsia="BBVABentonSans" w:hAnsi="BBVABentonSans" w:cs="BBVABentonSans"/>
          <w:color w:val="072146"/>
          <w:sz w:val="22"/>
          <w:szCs w:val="22"/>
          <w:lang w:val="es-CO"/>
        </w:rPr>
        <w:t xml:space="preserve"> las oportunidades de esta nueva era. Este propósito está centrado en las necesidades reales de los clientes: proporcionar las mejores soluciones y ayudarles a tomar las mejores decisiones financieras, a través de una experiencia fácil y conveniente. La entidad se asienta en unos sólidos valores: el cliente es lo primero, pensamos en grande y somos un solo equipo. Su modelo de banca responsable aspira a lograr una sociedad más inclusiva y sostenible</w:t>
      </w:r>
    </w:p>
    <w:p w:rsidR="006E41A9" w:rsidRPr="00C813F6" w:rsidRDefault="006E41A9">
      <w:pPr>
        <w:rPr>
          <w:lang w:val="es-CO"/>
        </w:rPr>
      </w:pPr>
    </w:p>
    <w:p w:rsidR="006E41A9" w:rsidRPr="00C813F6" w:rsidRDefault="006E41A9">
      <w:pPr>
        <w:rPr>
          <w:lang w:val="es-CO"/>
        </w:rPr>
      </w:pPr>
    </w:p>
    <w:sectPr w:rsidR="006E41A9" w:rsidRPr="00C813F6">
      <w:headerReference w:type="default" r:id="rId9"/>
      <w:headerReference w:type="first" r:id="rId10"/>
      <w:pgSz w:w="11900" w:h="16840"/>
      <w:pgMar w:top="3119" w:right="771" w:bottom="1134"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67" w:rsidRDefault="004B3A67">
      <w:pPr>
        <w:spacing w:after="0" w:line="240" w:lineRule="auto"/>
      </w:pPr>
      <w:r>
        <w:separator/>
      </w:r>
    </w:p>
  </w:endnote>
  <w:endnote w:type="continuationSeparator" w:id="0">
    <w:p w:rsidR="004B3A67" w:rsidRDefault="004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BVABentonSansLight">
    <w:altName w:val="Courier New"/>
    <w:charset w:val="00"/>
    <w:family w:val="auto"/>
    <w:pitch w:val="variable"/>
    <w:sig w:usb0="A000007F" w:usb1="4000804B" w:usb2="00000000" w:usb3="00000000" w:csb0="00000093"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BVABentonSans">
    <w:altName w:val="Times New Roman"/>
    <w:charset w:val="00"/>
    <w:family w:val="auto"/>
    <w:pitch w:val="variable"/>
    <w:sig w:usb0="A00000BF" w:usb1="5000A04B" w:usb2="00000000" w:usb3="00000000" w:csb0="00000093" w:csb1="00000000"/>
  </w:font>
  <w:font w:name="Lucida Grande">
    <w:altName w:val="Times New Roman"/>
    <w:panose1 w:val="00000000000000000000"/>
    <w:charset w:val="00"/>
    <w:family w:val="roman"/>
    <w:notTrueType/>
    <w:pitch w:val="default"/>
  </w:font>
  <w:font w:name="Stag Sans Boo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67" w:rsidRDefault="004B3A67">
      <w:pPr>
        <w:spacing w:after="0" w:line="240" w:lineRule="auto"/>
      </w:pPr>
      <w:r>
        <w:separator/>
      </w:r>
    </w:p>
  </w:footnote>
  <w:footnote w:type="continuationSeparator" w:id="0">
    <w:p w:rsidR="004B3A67" w:rsidRDefault="004B3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A9" w:rsidRDefault="00C92755">
    <w:pPr>
      <w:pBdr>
        <w:top w:val="nil"/>
        <w:left w:val="nil"/>
        <w:bottom w:val="nil"/>
        <w:right w:val="nil"/>
        <w:between w:val="nil"/>
      </w:pBdr>
      <w:tabs>
        <w:tab w:val="center" w:pos="4252"/>
        <w:tab w:val="right" w:pos="8504"/>
      </w:tabs>
      <w:rPr>
        <w:rFonts w:ascii="BBVABentonSansLight" w:eastAsia="BBVABentonSansLight" w:hAnsi="BBVABentonSansLight" w:cs="BBVABentonSansLight"/>
        <w:color w:val="121212"/>
        <w:sz w:val="32"/>
        <w:szCs w:val="32"/>
      </w:rPr>
    </w:pPr>
    <w:r>
      <w:rPr>
        <w:noProof/>
        <w:lang w:val="es-CO" w:eastAsia="es-CO"/>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73600" cy="5328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6E41A9" w:rsidRDefault="002620E6">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r>
      <w:rPr>
        <w:rFonts w:ascii="BBVABentonSansLight" w:eastAsia="BBVABentonSansLight" w:hAnsi="BBVABentonSansLight" w:cs="BBVABentonSansLight"/>
        <w:color w:val="072146"/>
        <w:sz w:val="20"/>
        <w:szCs w:val="20"/>
      </w:rPr>
      <w:t>24.05.2021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A9" w:rsidRPr="002620E6" w:rsidRDefault="00C92755">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2A5A5"/>
        <w:sz w:val="32"/>
        <w:szCs w:val="32"/>
        <w:lang w:val="es-CO"/>
      </w:rPr>
    </w:pPr>
    <w:r w:rsidRPr="002620E6">
      <w:rPr>
        <w:rFonts w:ascii="BBVABentonSansLight" w:eastAsia="BBVABentonSansLight" w:hAnsi="BBVABentonSansLight" w:cs="BBVABentonSansLight"/>
        <w:color w:val="02A5A5"/>
        <w:sz w:val="32"/>
        <w:szCs w:val="32"/>
        <w:lang w:val="es-CO"/>
      </w:rPr>
      <w:t>Nota de prensa</w:t>
    </w:r>
    <w:r w:rsidRPr="002620E6">
      <w:rPr>
        <w:rFonts w:ascii="BBVABentonSansLight" w:hAnsi="BBVABentonSansLight"/>
        <w:noProof/>
        <w:lang w:val="es-CO" w:eastAsia="es-CO"/>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73600" cy="5328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6E41A9" w:rsidRPr="002620E6"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lang w:val="es-CO"/>
      </w:rPr>
    </w:pPr>
  </w:p>
  <w:p w:rsidR="006E41A9" w:rsidRPr="002620E6"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lang w:val="es-CO"/>
      </w:rPr>
    </w:pPr>
  </w:p>
  <w:p w:rsidR="006E41A9" w:rsidRPr="002620E6"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lang w:val="es-CO"/>
      </w:rPr>
    </w:pPr>
  </w:p>
  <w:p w:rsidR="006E41A9" w:rsidRPr="002620E6"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lang w:val="es-CO"/>
      </w:rPr>
    </w:pPr>
  </w:p>
  <w:p w:rsidR="006E41A9" w:rsidRPr="002620E6" w:rsidRDefault="002620E6">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lang w:val="es-CO"/>
      </w:rPr>
    </w:pPr>
    <w:r>
      <w:rPr>
        <w:rFonts w:ascii="BBVABentonSansLight" w:eastAsia="BBVABentonSansLight" w:hAnsi="BBVABentonSansLight" w:cs="BBVABentonSansLight"/>
        <w:color w:val="072146"/>
        <w:sz w:val="20"/>
        <w:szCs w:val="20"/>
        <w:lang w:val="es-CO"/>
      </w:rPr>
      <w:t>24.05.2021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63C7B"/>
    <w:multiLevelType w:val="hybridMultilevel"/>
    <w:tmpl w:val="02945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14F3CFB"/>
    <w:multiLevelType w:val="multilevel"/>
    <w:tmpl w:val="5BFE9106"/>
    <w:lvl w:ilvl="0">
      <w:start w:val="1"/>
      <w:numFmt w:val="bullet"/>
      <w:lvlText w:val="●"/>
      <w:lvlJc w:val="left"/>
      <w:pPr>
        <w:ind w:left="360" w:hanging="360"/>
      </w:pPr>
      <w:rPr>
        <w:rFonts w:ascii="Noto Sans Symbols" w:eastAsia="Noto Sans Symbols" w:hAnsi="Noto Sans Symbols" w:cs="Noto Sans Symbols"/>
        <w:color w:val="000000"/>
        <w:sz w:val="16"/>
        <w:szCs w:val="16"/>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DC40EB8"/>
    <w:multiLevelType w:val="multilevel"/>
    <w:tmpl w:val="C592173C"/>
    <w:lvl w:ilvl="0">
      <w:start w:val="1"/>
      <w:numFmt w:val="decimal"/>
      <w:pStyle w:val="bulletv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9"/>
    <w:rsid w:val="002620E6"/>
    <w:rsid w:val="004B3A67"/>
    <w:rsid w:val="006D24D5"/>
    <w:rsid w:val="006E41A9"/>
    <w:rsid w:val="00C813F6"/>
    <w:rsid w:val="00C92755"/>
    <w:rsid w:val="00D05B43"/>
    <w:rsid w:val="00DB6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381C5-459E-4BBA-9EEF-E30614DD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n-US" w:eastAsia="es-CO"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0"/>
    <w:pPr>
      <w:autoSpaceDE w:val="0"/>
      <w:autoSpaceDN w:val="0"/>
      <w:adjustRightInd w:val="0"/>
    </w:pPr>
    <w:rPr>
      <w:rFonts w:asciiTheme="minorHAnsi" w:eastAsia="Times" w:hAnsiTheme="minorHAnsi" w:cs="Arial"/>
      <w:lang w:eastAsia="es-ES_tradnl"/>
    </w:rPr>
  </w:style>
  <w:style w:type="paragraph" w:styleId="Ttulo1">
    <w:name w:val="heading 1"/>
    <w:basedOn w:val="Normal"/>
    <w:next w:val="Normal"/>
    <w:link w:val="Ttulo1Car"/>
    <w:uiPriority w:val="9"/>
    <w:qFormat/>
    <w:rsid w:val="00781CEB"/>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rsid w:val="00781CEB"/>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81CEB"/>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paragraph" w:styleId="Encabezado">
    <w:name w:val="header"/>
    <w:basedOn w:val="Normal"/>
    <w:link w:val="EncabezadoCar"/>
    <w:uiPriority w:val="99"/>
    <w:unhideWhenUsed/>
    <w:rsid w:val="00781CEB"/>
    <w:pPr>
      <w:tabs>
        <w:tab w:val="center" w:pos="4252"/>
        <w:tab w:val="right" w:pos="8504"/>
      </w:tabs>
    </w:pPr>
    <w:rPr>
      <w:color w:val="121212" w:themeColor="background2"/>
    </w:rPr>
  </w:style>
  <w:style w:type="character" w:customStyle="1" w:styleId="EncabezadoCar">
    <w:name w:val="Encabezado Car"/>
    <w:basedOn w:val="Fuentedeprrafopredeter"/>
    <w:link w:val="Encabezado"/>
    <w:uiPriority w:val="99"/>
    <w:rsid w:val="00781CEB"/>
    <w:rPr>
      <w:rFonts w:asciiTheme="minorHAnsi" w:eastAsia="Times" w:hAnsiTheme="minorHAnsi"/>
      <w:color w:val="121212" w:themeColor="background2"/>
      <w:sz w:val="24"/>
      <w:szCs w:val="24"/>
      <w:lang w:val="es-ES_tradnl"/>
    </w:rPr>
  </w:style>
  <w:style w:type="paragraph" w:customStyle="1" w:styleId="Subtitulo">
    <w:name w:val="Subtitulo"/>
    <w:qFormat/>
    <w:rsid w:val="003E3D2F"/>
    <w:pPr>
      <w:spacing w:before="480"/>
    </w:pPr>
    <w:rPr>
      <w:rFonts w:asciiTheme="majorHAnsi" w:eastAsia="Times" w:hAnsiTheme="majorHAnsi"/>
      <w:color w:val="072146" w:themeColor="accent4"/>
      <w:sz w:val="36"/>
      <w:szCs w:val="36"/>
    </w:rPr>
  </w:style>
  <w:style w:type="paragraph" w:styleId="Piedepgina">
    <w:name w:val="footer"/>
    <w:basedOn w:val="Normal"/>
    <w:link w:val="PiedepginaCar"/>
    <w:uiPriority w:val="99"/>
    <w:unhideWhenUsed/>
    <w:rsid w:val="008A5853"/>
    <w:pPr>
      <w:tabs>
        <w:tab w:val="center" w:pos="4513"/>
        <w:tab w:val="right" w:pos="9026"/>
      </w:tabs>
    </w:pPr>
  </w:style>
  <w:style w:type="paragraph" w:styleId="Textodeglobo">
    <w:name w:val="Balloon Text"/>
    <w:basedOn w:val="Normal"/>
    <w:link w:val="TextodegloboCar"/>
    <w:uiPriority w:val="99"/>
    <w:semiHidden/>
    <w:unhideWhenUsed/>
    <w:rsid w:val="00CD04DD"/>
    <w:rPr>
      <w:rFonts w:ascii="Lucida Grande" w:hAnsi="Lucida Grande"/>
      <w:sz w:val="18"/>
      <w:szCs w:val="18"/>
    </w:rPr>
  </w:style>
  <w:style w:type="character" w:customStyle="1" w:styleId="TextodegloboCar">
    <w:name w:val="Texto de globo Car"/>
    <w:link w:val="Textodeglobo"/>
    <w:uiPriority w:val="99"/>
    <w:semiHidden/>
    <w:rsid w:val="00CD04DD"/>
    <w:rPr>
      <w:rFonts w:ascii="Lucida Grande" w:hAnsi="Lucida Grande"/>
      <w:sz w:val="18"/>
      <w:szCs w:val="18"/>
    </w:rPr>
  </w:style>
  <w:style w:type="paragraph" w:customStyle="1" w:styleId="piedepagina">
    <w:name w:val="pie de pagina"/>
    <w:basedOn w:val="Normal"/>
    <w:autoRedefine/>
    <w:rsid w:val="00781CEB"/>
    <w:pPr>
      <w:ind w:right="95"/>
      <w:jc w:val="right"/>
    </w:pPr>
    <w:rPr>
      <w:color w:val="1973B8" w:themeColor="accent1"/>
      <w:sz w:val="20"/>
      <w:lang w:val="es-ES"/>
    </w:rPr>
  </w:style>
  <w:style w:type="character" w:styleId="Hipervnculo">
    <w:name w:val="Hyperlink"/>
    <w:rsid w:val="00906762"/>
  </w:style>
  <w:style w:type="paragraph" w:customStyle="1" w:styleId="Listavistosa-nfasis11">
    <w:name w:val="Lista vistosa - Énfasis 11"/>
    <w:basedOn w:val="Normal"/>
    <w:uiPriority w:val="34"/>
    <w:qFormat/>
    <w:rsid w:val="00781CEB"/>
    <w:pPr>
      <w:ind w:left="720"/>
    </w:pPr>
    <w:rPr>
      <w:color w:val="121212" w:themeColor="background2"/>
      <w:szCs w:val="20"/>
    </w:rPr>
  </w:style>
  <w:style w:type="paragraph" w:customStyle="1" w:styleId="Fechacabecera">
    <w:name w:val="Fecha_cabecera"/>
    <w:qFormat/>
    <w:rsid w:val="00906762"/>
    <w:pPr>
      <w:jc w:val="right"/>
    </w:pPr>
    <w:rPr>
      <w:rFonts w:asciiTheme="minorHAnsi" w:eastAsia="Times" w:hAnsiTheme="minorHAnsi" w:cstheme="minorHAnsi"/>
      <w:color w:val="072146" w:themeColor="accent4"/>
      <w:lang w:val="es-ES_tradnl"/>
    </w:rPr>
  </w:style>
  <w:style w:type="paragraph" w:customStyle="1" w:styleId="Nombredoc">
    <w:name w:val="Nombre_doc"/>
    <w:qFormat/>
    <w:rsid w:val="00906762"/>
    <w:pPr>
      <w:jc w:val="right"/>
    </w:pPr>
    <w:rPr>
      <w:rFonts w:asciiTheme="minorHAnsi" w:eastAsia="Times" w:hAnsiTheme="minorHAnsi" w:cstheme="minorHAnsi"/>
      <w:noProof/>
      <w:color w:val="02A5A5"/>
      <w:sz w:val="32"/>
      <w:szCs w:val="28"/>
    </w:rPr>
  </w:style>
  <w:style w:type="paragraph" w:customStyle="1" w:styleId="Antettulo">
    <w:name w:val="Antetítulo"/>
    <w:qFormat/>
    <w:rsid w:val="00D250D5"/>
    <w:pPr>
      <w:tabs>
        <w:tab w:val="left" w:pos="426"/>
        <w:tab w:val="left" w:pos="11199"/>
      </w:tabs>
    </w:pPr>
    <w:rPr>
      <w:rFonts w:asciiTheme="majorHAnsi" w:eastAsia="Times" w:hAnsiTheme="majorHAnsi"/>
      <w:color w:val="072146" w:themeColor="accent4"/>
      <w:sz w:val="32"/>
      <w:szCs w:val="32"/>
      <w:lang w:val="es-ES_tradnl" w:eastAsia="en-US"/>
    </w:rPr>
  </w:style>
  <w:style w:type="paragraph" w:customStyle="1" w:styleId="Ttuloprincipal">
    <w:name w:val="Título_principal"/>
    <w:qFormat/>
    <w:rsid w:val="003E3D2F"/>
    <w:pPr>
      <w:tabs>
        <w:tab w:val="left" w:pos="-4111"/>
      </w:tabs>
      <w:spacing w:after="480"/>
    </w:pPr>
    <w:rPr>
      <w:rFonts w:asciiTheme="majorHAnsi" w:eastAsia="Times" w:hAnsiTheme="majorHAnsi"/>
      <w:color w:val="02A5A5"/>
      <w:sz w:val="48"/>
    </w:rPr>
  </w:style>
  <w:style w:type="character" w:styleId="nfasissutil">
    <w:name w:val="Subtle Emphasis"/>
    <w:basedOn w:val="Fuentedeprrafopredeter"/>
    <w:uiPriority w:val="19"/>
    <w:qFormat/>
    <w:rsid w:val="00781CEB"/>
    <w:rPr>
      <w:rFonts w:asciiTheme="minorHAnsi" w:hAnsiTheme="minorHAnsi"/>
      <w:i/>
      <w:iCs/>
      <w:color w:val="5BBEFF" w:themeColor="accent2"/>
    </w:rPr>
  </w:style>
  <w:style w:type="paragraph" w:customStyle="1" w:styleId="Entradilla">
    <w:name w:val="Entradilla"/>
    <w:next w:val="Normal"/>
    <w:qFormat/>
    <w:rsid w:val="003E3D2F"/>
    <w:pPr>
      <w:spacing w:before="480"/>
    </w:pPr>
    <w:rPr>
      <w:rFonts w:asciiTheme="majorHAnsi" w:eastAsia="Times" w:hAnsiTheme="majorHAnsi" w:cs="Stag Sans Book"/>
      <w:color w:val="121212" w:themeColor="background2"/>
      <w:lang w:eastAsia="es-ES_tradnl"/>
    </w:rPr>
  </w:style>
  <w:style w:type="paragraph" w:customStyle="1" w:styleId="Textonomal">
    <w:name w:val="Texto_nomal"/>
    <w:basedOn w:val="Normal"/>
    <w:qFormat/>
    <w:rsid w:val="003E3D2F"/>
  </w:style>
  <w:style w:type="paragraph" w:customStyle="1" w:styleId="Ladillo">
    <w:name w:val="Ladillo"/>
    <w:qFormat/>
    <w:rsid w:val="003E3D2F"/>
    <w:pPr>
      <w:autoSpaceDE w:val="0"/>
      <w:autoSpaceDN w:val="0"/>
      <w:adjustRightInd w:val="0"/>
      <w:spacing w:before="360" w:after="120"/>
    </w:pPr>
    <w:rPr>
      <w:rFonts w:asciiTheme="minorHAnsi" w:eastAsia="Times" w:hAnsiTheme="minorHAnsi" w:cs="Arial"/>
      <w:b/>
      <w:color w:val="004481" w:themeColor="text1"/>
      <w:lang w:val="it-IT" w:eastAsia="es-ES_tradnl"/>
    </w:rPr>
  </w:style>
  <w:style w:type="paragraph" w:customStyle="1" w:styleId="Contacto">
    <w:name w:val="Contacto"/>
    <w:qFormat/>
    <w:rsid w:val="00906762"/>
    <w:pPr>
      <w:tabs>
        <w:tab w:val="left" w:pos="142"/>
      </w:tabs>
      <w:autoSpaceDE w:val="0"/>
      <w:autoSpaceDN w:val="0"/>
      <w:adjustRightInd w:val="0"/>
      <w:ind w:right="425"/>
    </w:pPr>
    <w:rPr>
      <w:rFonts w:asciiTheme="minorHAnsi" w:eastAsia="Times" w:hAnsiTheme="minorHAnsi" w:cs="Stag Sans Book"/>
      <w:b/>
      <w:color w:val="004481" w:themeColor="text1"/>
      <w:lang w:val="es-ES_tradnl" w:eastAsia="es-ES_tradnl"/>
    </w:rPr>
  </w:style>
  <w:style w:type="paragraph" w:customStyle="1" w:styleId="Nombredpto">
    <w:name w:val="Nombre_dpto"/>
    <w:qFormat/>
    <w:rsid w:val="00906762"/>
    <w:pPr>
      <w:tabs>
        <w:tab w:val="left" w:pos="142"/>
      </w:tabs>
      <w:autoSpaceDE w:val="0"/>
      <w:autoSpaceDN w:val="0"/>
      <w:adjustRightInd w:val="0"/>
      <w:ind w:right="425"/>
    </w:pPr>
    <w:rPr>
      <w:rFonts w:asciiTheme="minorHAnsi" w:eastAsia="Times" w:hAnsiTheme="minorHAnsi" w:cs="Arial"/>
      <w:b/>
      <w:bCs/>
      <w:color w:val="004481" w:themeColor="text1"/>
      <w:szCs w:val="26"/>
      <w:lang w:val="es-ES_tradnl" w:eastAsia="es-ES_tradnl"/>
    </w:rPr>
  </w:style>
  <w:style w:type="paragraph" w:customStyle="1" w:styleId="datoscontacto">
    <w:name w:val="datos contacto"/>
    <w:qFormat/>
    <w:rsid w:val="00906762"/>
    <w:pPr>
      <w:spacing w:after="40"/>
    </w:pPr>
    <w:rPr>
      <w:rFonts w:asciiTheme="minorHAnsi" w:eastAsia="Times" w:hAnsiTheme="minorHAnsi" w:cs="Arial"/>
      <w:lang w:eastAsia="es-ES_tradnl"/>
    </w:rPr>
  </w:style>
  <w:style w:type="paragraph" w:customStyle="1" w:styleId="Infoadicional">
    <w:name w:val="Info_adicional"/>
    <w:basedOn w:val="Normal"/>
    <w:qFormat/>
    <w:rsid w:val="00671915"/>
    <w:pPr>
      <w:spacing w:before="240"/>
      <w:ind w:right="425"/>
    </w:pPr>
    <w:rPr>
      <w:rFonts w:cs="Calibri"/>
      <w:szCs w:val="30"/>
    </w:rPr>
  </w:style>
  <w:style w:type="paragraph" w:customStyle="1" w:styleId="Link">
    <w:name w:val="Link"/>
    <w:basedOn w:val="Normal"/>
    <w:qFormat/>
    <w:rsid w:val="00781CEB"/>
    <w:pPr>
      <w:ind w:right="425"/>
    </w:pPr>
    <w:rPr>
      <w:rFonts w:cs="Calibri"/>
      <w:color w:val="1973B8" w:themeColor="accent1"/>
      <w:szCs w:val="30"/>
    </w:rPr>
  </w:style>
  <w:style w:type="character" w:customStyle="1" w:styleId="Ttulo1Car">
    <w:name w:val="Título 1 Car"/>
    <w:basedOn w:val="Fuentedeprrafopredeter"/>
    <w:link w:val="Ttulo1"/>
    <w:uiPriority w:val="9"/>
    <w:rsid w:val="00781CEB"/>
    <w:rPr>
      <w:rFonts w:asciiTheme="majorHAnsi" w:eastAsiaTheme="majorEastAsia" w:hAnsiTheme="majorHAnsi" w:cstheme="majorBidi"/>
      <w:b/>
      <w:bCs/>
      <w:color w:val="004481" w:themeColor="text1"/>
      <w:sz w:val="28"/>
      <w:szCs w:val="28"/>
      <w:lang w:val="es-ES_tradnl"/>
    </w:rPr>
  </w:style>
  <w:style w:type="paragraph" w:customStyle="1" w:styleId="Ttulointerior">
    <w:name w:val="Título interior"/>
    <w:basedOn w:val="Ttulo1"/>
    <w:qFormat/>
    <w:rsid w:val="00A74331"/>
    <w:pPr>
      <w:spacing w:after="120"/>
    </w:pPr>
    <w:rPr>
      <w:b w:val="0"/>
      <w:color w:val="072146" w:themeColor="accent4"/>
      <w:sz w:val="36"/>
    </w:rPr>
  </w:style>
  <w:style w:type="paragraph" w:customStyle="1" w:styleId="Textodestacado">
    <w:name w:val="Texto_destacado"/>
    <w:basedOn w:val="Normal"/>
    <w:qFormat/>
    <w:rsid w:val="00A74331"/>
    <w:rPr>
      <w:rFonts w:asciiTheme="majorHAnsi" w:hAnsiTheme="majorHAnsi"/>
      <w:color w:val="072146" w:themeColor="accent4"/>
      <w:sz w:val="22"/>
      <w:szCs w:val="22"/>
    </w:rPr>
  </w:style>
  <w:style w:type="paragraph" w:customStyle="1" w:styleId="bulletvieta">
    <w:name w:val="bullet viñeta"/>
    <w:qFormat/>
    <w:rsid w:val="00A74331"/>
    <w:pPr>
      <w:numPr>
        <w:numId w:val="2"/>
      </w:numPr>
      <w:spacing w:after="280"/>
      <w:ind w:left="357" w:hanging="357"/>
    </w:pPr>
    <w:rPr>
      <w:rFonts w:asciiTheme="majorHAnsi" w:eastAsiaTheme="minorHAnsi" w:hAnsiTheme="majorHAnsi" w:cstheme="minorBidi"/>
      <w:b/>
      <w:szCs w:val="22"/>
      <w:lang w:eastAsia="en-US"/>
    </w:rPr>
  </w:style>
  <w:style w:type="character" w:styleId="nfasis">
    <w:name w:val="Emphasis"/>
    <w:basedOn w:val="Fuentedeprrafopredeter"/>
    <w:uiPriority w:val="20"/>
    <w:qFormat/>
    <w:rsid w:val="00781CEB"/>
    <w:rPr>
      <w:rFonts w:asciiTheme="majorHAnsi" w:hAnsiTheme="majorHAnsi"/>
      <w:i/>
      <w:iCs/>
      <w:color w:val="121212" w:themeColor="background2"/>
    </w:rPr>
  </w:style>
  <w:style w:type="character" w:styleId="nfasisintenso">
    <w:name w:val="Intense Emphasis"/>
    <w:basedOn w:val="Fuentedeprrafopredeter"/>
    <w:uiPriority w:val="21"/>
    <w:qFormat/>
    <w:rsid w:val="00161CDA"/>
    <w:rPr>
      <w:rFonts w:asciiTheme="minorHAnsi" w:hAnsiTheme="minorHAnsi"/>
      <w:b/>
      <w:bCs/>
      <w:i/>
      <w:iCs/>
      <w:color w:val="1973B8" w:themeColor="accent1"/>
    </w:rPr>
  </w:style>
  <w:style w:type="character" w:styleId="Ttulodellibro">
    <w:name w:val="Book Title"/>
    <w:basedOn w:val="Fuentedeprrafopredeter"/>
    <w:uiPriority w:val="33"/>
    <w:qFormat/>
    <w:rsid w:val="00781CEB"/>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sid w:val="00781CEB"/>
    <w:rPr>
      <w:rFonts w:asciiTheme="majorHAnsi" w:eastAsiaTheme="majorEastAsia" w:hAnsiTheme="majorHAnsi" w:cstheme="majorBidi"/>
      <w:b/>
      <w:bCs/>
      <w:color w:val="1973B8" w:themeColor="accent1"/>
      <w:sz w:val="26"/>
      <w:szCs w:val="26"/>
      <w:lang w:val="es-ES_tradnl"/>
    </w:rPr>
  </w:style>
  <w:style w:type="character" w:customStyle="1" w:styleId="PuestoCar">
    <w:name w:val="Puesto Car"/>
    <w:basedOn w:val="Fuentedeprrafopredeter"/>
    <w:link w:val="Puesto"/>
    <w:uiPriority w:val="10"/>
    <w:rsid w:val="00781CEB"/>
    <w:rPr>
      <w:rFonts w:asciiTheme="majorHAnsi" w:eastAsiaTheme="majorEastAsia" w:hAnsiTheme="majorHAnsi" w:cstheme="majorBidi"/>
      <w:color w:val="004481" w:themeColor="text1"/>
      <w:spacing w:val="5"/>
      <w:kern w:val="28"/>
      <w:sz w:val="52"/>
      <w:szCs w:val="52"/>
      <w:lang w:val="es-ES_tradnl"/>
    </w:rPr>
  </w:style>
  <w:style w:type="paragraph" w:styleId="Subttulo">
    <w:name w:val="Subtitle"/>
    <w:basedOn w:val="Normal"/>
    <w:next w:val="Normal"/>
    <w:link w:val="SubttuloCar"/>
    <w:rPr>
      <w:rFonts w:ascii="BBVABentonSans" w:eastAsia="BBVABentonSans" w:hAnsi="BBVABentonSans" w:cs="BBVABentonSans"/>
      <w:i/>
      <w:color w:val="1973B8"/>
    </w:rPr>
  </w:style>
  <w:style w:type="character" w:customStyle="1" w:styleId="SubttuloCar">
    <w:name w:val="Subtítulo Car"/>
    <w:basedOn w:val="Fuentedeprrafopredeter"/>
    <w:link w:val="Subttulo"/>
    <w:uiPriority w:val="11"/>
    <w:rsid w:val="00781CEB"/>
    <w:rPr>
      <w:rFonts w:asciiTheme="majorHAnsi" w:eastAsiaTheme="majorEastAsia" w:hAnsiTheme="majorHAnsi" w:cstheme="majorBidi"/>
      <w:i/>
      <w:iCs/>
      <w:color w:val="1973B8" w:themeColor="accent1"/>
      <w:spacing w:val="15"/>
      <w:sz w:val="24"/>
      <w:szCs w:val="24"/>
      <w:lang w:val="es-ES_tradnl"/>
    </w:rPr>
  </w:style>
  <w:style w:type="character" w:styleId="Textoennegrita">
    <w:name w:val="Strong"/>
    <w:basedOn w:val="Fuentedeprrafopredeter"/>
    <w:uiPriority w:val="22"/>
    <w:qFormat/>
    <w:rsid w:val="00781CEB"/>
    <w:rPr>
      <w:rFonts w:asciiTheme="minorHAnsi" w:hAnsiTheme="minorHAnsi"/>
      <w:b/>
      <w:bCs/>
      <w:color w:val="121212" w:themeColor="background2"/>
    </w:rPr>
  </w:style>
  <w:style w:type="paragraph" w:styleId="Cita">
    <w:name w:val="Quote"/>
    <w:basedOn w:val="Normal"/>
    <w:next w:val="Normal"/>
    <w:link w:val="CitaCar"/>
    <w:uiPriority w:val="29"/>
    <w:qFormat/>
    <w:rsid w:val="00781CEB"/>
    <w:rPr>
      <w:i/>
      <w:iCs/>
      <w:color w:val="004481" w:themeColor="text1"/>
    </w:rPr>
  </w:style>
  <w:style w:type="character" w:customStyle="1" w:styleId="CitaCar">
    <w:name w:val="Cita Car"/>
    <w:basedOn w:val="Fuentedeprrafopredeter"/>
    <w:link w:val="Cita"/>
    <w:uiPriority w:val="29"/>
    <w:rsid w:val="00781CEB"/>
    <w:rPr>
      <w:rFonts w:asciiTheme="minorHAnsi" w:eastAsia="Times" w:hAnsiTheme="minorHAnsi"/>
      <w:i/>
      <w:iCs/>
      <w:color w:val="004481" w:themeColor="text1"/>
      <w:sz w:val="24"/>
      <w:szCs w:val="24"/>
      <w:lang w:val="es-ES_tradnl"/>
    </w:rPr>
  </w:style>
  <w:style w:type="paragraph" w:styleId="Citadestacada">
    <w:name w:val="Intense Quote"/>
    <w:basedOn w:val="Normal"/>
    <w:next w:val="Normal"/>
    <w:link w:val="CitadestacadaCar"/>
    <w:uiPriority w:val="30"/>
    <w:qFormat/>
    <w:rsid w:val="00781CEB"/>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sid w:val="00781CEB"/>
    <w:rPr>
      <w:rFonts w:asciiTheme="minorHAnsi" w:eastAsia="Times" w:hAnsiTheme="minorHAnsi"/>
      <w:b/>
      <w:bCs/>
      <w:i/>
      <w:iCs/>
      <w:color w:val="1973B8" w:themeColor="accent1"/>
      <w:sz w:val="24"/>
      <w:szCs w:val="24"/>
      <w:lang w:val="es-ES_tradnl"/>
    </w:rPr>
  </w:style>
  <w:style w:type="character" w:styleId="Referenciasutil">
    <w:name w:val="Subtle Reference"/>
    <w:basedOn w:val="Fuentedeprrafopredeter"/>
    <w:uiPriority w:val="31"/>
    <w:qFormat/>
    <w:rsid w:val="00781CEB"/>
    <w:rPr>
      <w:rFonts w:asciiTheme="minorHAnsi" w:hAnsiTheme="minorHAnsi"/>
      <w:smallCaps/>
      <w:color w:val="5BBEFF" w:themeColor="accent2"/>
      <w:u w:val="none"/>
    </w:rPr>
  </w:style>
  <w:style w:type="character" w:styleId="Referenciaintensa">
    <w:name w:val="Intense Reference"/>
    <w:basedOn w:val="Fuentedeprrafopredeter"/>
    <w:uiPriority w:val="32"/>
    <w:qFormat/>
    <w:rsid w:val="00781CEB"/>
    <w:rPr>
      <w:rFonts w:asciiTheme="minorHAnsi" w:hAnsiTheme="minorHAnsi"/>
      <w:b/>
      <w:bCs/>
      <w:smallCaps/>
      <w:color w:val="5BBEFF" w:themeColor="accent2"/>
      <w:spacing w:val="5"/>
      <w:u w:val="none"/>
    </w:rPr>
  </w:style>
  <w:style w:type="paragraph" w:styleId="Prrafodelista">
    <w:name w:val="List Paragraph"/>
    <w:basedOn w:val="Normal"/>
    <w:uiPriority w:val="34"/>
    <w:qFormat/>
    <w:rsid w:val="00781CEB"/>
    <w:pPr>
      <w:ind w:left="720"/>
      <w:contextualSpacing/>
    </w:pPr>
    <w:rPr>
      <w:color w:val="121212" w:themeColor="background2"/>
    </w:rPr>
  </w:style>
  <w:style w:type="character" w:customStyle="1" w:styleId="PiedepginaCar">
    <w:name w:val="Pie de página Car"/>
    <w:basedOn w:val="Fuentedeprrafopredeter"/>
    <w:link w:val="Piedepgina"/>
    <w:uiPriority w:val="99"/>
    <w:rsid w:val="008A5853"/>
    <w:rPr>
      <w:rFonts w:asciiTheme="minorHAnsi" w:eastAsia="Times" w:hAnsiTheme="minorHAns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7893">
      <w:bodyDiv w:val="1"/>
      <w:marLeft w:val="0"/>
      <w:marRight w:val="0"/>
      <w:marTop w:val="0"/>
      <w:marBottom w:val="0"/>
      <w:divBdr>
        <w:top w:val="none" w:sz="0" w:space="0" w:color="auto"/>
        <w:left w:val="none" w:sz="0" w:space="0" w:color="auto"/>
        <w:bottom w:val="none" w:sz="0" w:space="0" w:color="auto"/>
        <w:right w:val="none" w:sz="0" w:space="0" w:color="auto"/>
      </w:divBdr>
    </w:div>
    <w:div w:id="609362028">
      <w:bodyDiv w:val="1"/>
      <w:marLeft w:val="0"/>
      <w:marRight w:val="0"/>
      <w:marTop w:val="0"/>
      <w:marBottom w:val="0"/>
      <w:divBdr>
        <w:top w:val="none" w:sz="0" w:space="0" w:color="auto"/>
        <w:left w:val="none" w:sz="0" w:space="0" w:color="auto"/>
        <w:bottom w:val="none" w:sz="0" w:space="0" w:color="auto"/>
        <w:right w:val="none" w:sz="0" w:space="0" w:color="auto"/>
      </w:divBdr>
    </w:div>
    <w:div w:id="134554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defPPr algn="ctr">
          <a:defRPr u="none" dirty="0">
            <a:solidFill>
              <a:schemeClr val="bg1"/>
            </a:solidFill>
            <a:latin typeface="+mj-lt"/>
          </a:defRPr>
        </a:defPPr>
      </a:lstStyle>
    </a:spDef>
    <a:lnDef>
      <a:spPr>
        <a:ln w="3175">
          <a:solidFill>
            <a:srgbClr val="A6AAA8"/>
          </a:solidFill>
          <a:miter lim="400000"/>
        </a:ln>
      </a:spPr>
      <a:bodyPr/>
      <a:lstStyle/>
    </a:lnDef>
    <a:txDef>
      <a:spPr>
        <a:noFill/>
      </a:spPr>
      <a:bodyPr wrap="square" lIns="0" tIns="0" rIns="0" bIns="0" rtlCol="0">
        <a:noAutofit/>
      </a:bodyPr>
      <a:lstStyle>
        <a:defPPr>
          <a:defRPr sz="2000" u="none" dirty="0">
            <a:solidFill>
              <a:schemeClr val="tx2"/>
            </a:solidFill>
            <a:latin typeface="+mn-lt"/>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5Vg/Jw8oCG6sG5MZnq2ed4THUg==">AMUW2mVrst4pN2b2Eq5cEUAXP6C+kcK7ix69TwmwLFMjCC8IQuR7/VxS6VJWmhG2B+6DUDH2IWNryDWnlvMajsYg8DAI70UN2XNdXZ2cOPMLQFgd5OflTpRW7u3Ozuxz9ahgImgJe4q2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CANFRANC, MIGUEL</dc:creator>
  <cp:lastModifiedBy>MARIA CAROLINA RAMIREZ BONILLA</cp:lastModifiedBy>
  <cp:revision>2</cp:revision>
  <dcterms:created xsi:type="dcterms:W3CDTF">2021-05-24T14:27:00Z</dcterms:created>
  <dcterms:modified xsi:type="dcterms:W3CDTF">2021-05-24T14:27:00Z</dcterms:modified>
</cp:coreProperties>
</file>