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AEE3" w14:textId="4B882E06" w:rsidR="00621C90" w:rsidRDefault="00262E4C" w:rsidP="00700E68">
      <w:pPr>
        <w:ind w:left="426" w:right="567"/>
        <w:jc w:val="left"/>
        <w:rPr>
          <w:rFonts w:cs="Arial"/>
          <w:b/>
          <w:bCs/>
          <w:color w:val="FF0000"/>
          <w:sz w:val="36"/>
          <w:szCs w:val="36"/>
        </w:rPr>
      </w:pPr>
      <w:r>
        <w:rPr>
          <w:rFonts w:cs="Arial"/>
          <w:b/>
          <w:bCs/>
          <w:i/>
          <w:iCs/>
          <w:sz w:val="24"/>
          <w:szCs w:val="24"/>
          <w:u w:val="single"/>
        </w:rPr>
        <w:t>Vivienda</w:t>
      </w:r>
    </w:p>
    <w:p w14:paraId="6CE4CBB3" w14:textId="77777777" w:rsidR="00B536B0" w:rsidRPr="00C25516" w:rsidRDefault="00B536B0" w:rsidP="00700E68">
      <w:pPr>
        <w:ind w:left="426" w:right="567"/>
        <w:jc w:val="center"/>
        <w:rPr>
          <w:rFonts w:cs="Arial"/>
          <w:b/>
          <w:bCs/>
          <w:color w:val="FF0000"/>
          <w:sz w:val="28"/>
          <w:szCs w:val="28"/>
        </w:rPr>
      </w:pPr>
    </w:p>
    <w:p w14:paraId="3FAD9592" w14:textId="2FDF4046" w:rsidR="00D72321" w:rsidRPr="00370918" w:rsidRDefault="00445BA1" w:rsidP="007F5AFE">
      <w:pPr>
        <w:ind w:left="426" w:right="567"/>
        <w:jc w:val="center"/>
        <w:rPr>
          <w:rFonts w:cs="Arial"/>
          <w:b/>
          <w:bCs/>
          <w:color w:val="FF0000"/>
          <w:sz w:val="36"/>
          <w:szCs w:val="36"/>
        </w:rPr>
      </w:pPr>
      <w:bookmarkStart w:id="0" w:name="_GoBack"/>
      <w:r w:rsidRPr="00370918">
        <w:rPr>
          <w:rFonts w:cs="Arial"/>
          <w:b/>
          <w:bCs/>
          <w:color w:val="FF0000"/>
          <w:sz w:val="36"/>
          <w:szCs w:val="36"/>
        </w:rPr>
        <w:t>Desembolsos por más</w:t>
      </w:r>
      <w:r w:rsidR="00262E4C" w:rsidRPr="00370918">
        <w:rPr>
          <w:rFonts w:cs="Arial"/>
          <w:b/>
          <w:bCs/>
          <w:color w:val="FF0000"/>
          <w:sz w:val="36"/>
          <w:szCs w:val="36"/>
        </w:rPr>
        <w:t xml:space="preserve"> de 100</w:t>
      </w:r>
      <w:r w:rsidRPr="00370918">
        <w:rPr>
          <w:rFonts w:cs="Arial"/>
          <w:b/>
          <w:bCs/>
          <w:color w:val="FF0000"/>
          <w:sz w:val="36"/>
          <w:szCs w:val="36"/>
        </w:rPr>
        <w:t xml:space="preserve"> mil </w:t>
      </w:r>
      <w:r w:rsidR="00262E4C" w:rsidRPr="00370918">
        <w:rPr>
          <w:rFonts w:cs="Arial"/>
          <w:b/>
          <w:bCs/>
          <w:color w:val="FF0000"/>
          <w:sz w:val="36"/>
          <w:szCs w:val="36"/>
        </w:rPr>
        <w:t>millones</w:t>
      </w:r>
      <w:r w:rsidRPr="00370918">
        <w:rPr>
          <w:rFonts w:cs="Arial"/>
          <w:b/>
          <w:bCs/>
          <w:color w:val="FF0000"/>
          <w:sz w:val="36"/>
          <w:szCs w:val="36"/>
        </w:rPr>
        <w:t xml:space="preserve"> para créditos de vivienda </w:t>
      </w:r>
      <w:r w:rsidR="00262E4C" w:rsidRPr="00370918">
        <w:rPr>
          <w:rFonts w:cs="Arial"/>
          <w:b/>
          <w:bCs/>
          <w:color w:val="FF0000"/>
          <w:sz w:val="36"/>
          <w:szCs w:val="36"/>
        </w:rPr>
        <w:t>con cobertura FRECH NO VIS</w:t>
      </w:r>
    </w:p>
    <w:p w14:paraId="2290206A" w14:textId="2BE94B7A" w:rsidR="00B077FC" w:rsidRPr="00B077FC" w:rsidRDefault="00B077FC" w:rsidP="00262E4C">
      <w:pPr>
        <w:rPr>
          <w:lang w:val="es-CO" w:eastAsia="es-ES"/>
        </w:rPr>
      </w:pPr>
      <w:bookmarkStart w:id="1" w:name="_Hlk70345279"/>
      <w:bookmarkEnd w:id="0"/>
    </w:p>
    <w:p w14:paraId="63D091CC" w14:textId="3A175F70" w:rsidR="00370918" w:rsidRDefault="00370918" w:rsidP="00370918">
      <w:pPr>
        <w:pStyle w:val="Ttulo2"/>
        <w:numPr>
          <w:ilvl w:val="0"/>
          <w:numId w:val="19"/>
        </w:numPr>
        <w:ind w:left="993" w:right="1134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370918">
        <w:rPr>
          <w:rFonts w:ascii="Arial" w:hAnsi="Arial" w:cs="Arial"/>
          <w:sz w:val="22"/>
          <w:szCs w:val="22"/>
          <w:lang w:val="es-CO"/>
        </w:rPr>
        <w:t xml:space="preserve">Fondo de Reserva para la Estabilización de la Cartera Hipotecaria (FRECH) NO VIS, </w:t>
      </w:r>
      <w:r>
        <w:rPr>
          <w:rFonts w:ascii="Arial" w:hAnsi="Arial" w:cs="Arial"/>
          <w:sz w:val="22"/>
          <w:szCs w:val="22"/>
          <w:lang w:val="es-CO"/>
        </w:rPr>
        <w:t xml:space="preserve">cubre </w:t>
      </w:r>
      <w:r w:rsidRPr="00370918">
        <w:rPr>
          <w:rFonts w:ascii="Arial" w:hAnsi="Arial" w:cs="Arial"/>
          <w:sz w:val="22"/>
          <w:szCs w:val="22"/>
          <w:lang w:val="es-CO"/>
        </w:rPr>
        <w:t>hasta $438.901 mensuales para apoyar el pago de los intereses durante los primeros siete años del préstamo.</w:t>
      </w:r>
    </w:p>
    <w:p w14:paraId="6C1A7CF6" w14:textId="77777777" w:rsidR="00370918" w:rsidRPr="00370918" w:rsidRDefault="00370918" w:rsidP="00370918">
      <w:pPr>
        <w:ind w:left="993"/>
        <w:rPr>
          <w:lang w:val="es-CO" w:eastAsia="es-ES"/>
        </w:rPr>
      </w:pPr>
    </w:p>
    <w:p w14:paraId="109E90E3" w14:textId="55C0BA4E" w:rsidR="00370918" w:rsidRPr="00370918" w:rsidRDefault="00370918" w:rsidP="00370918">
      <w:pPr>
        <w:pStyle w:val="Ttulo2"/>
        <w:numPr>
          <w:ilvl w:val="0"/>
          <w:numId w:val="18"/>
        </w:numPr>
        <w:ind w:left="993" w:right="1134"/>
        <w:rPr>
          <w:rFonts w:ascii="Arial" w:hAnsi="Arial" w:cs="Arial"/>
          <w:b/>
          <w:bCs/>
          <w:sz w:val="22"/>
          <w:szCs w:val="22"/>
          <w:lang w:val="es-CO"/>
        </w:rPr>
      </w:pPr>
      <w:r w:rsidRPr="00370918">
        <w:rPr>
          <w:rFonts w:ascii="Arial" w:hAnsi="Arial" w:cs="Arial"/>
          <w:sz w:val="22"/>
          <w:szCs w:val="22"/>
          <w:lang w:val="es-CO"/>
        </w:rPr>
        <w:t>En 2020 el Banco desembolsó más de 6.500 créditos de vivienda por valor de $1.03 billones, de los cuales el 81.1 % correspondieron a vivienda NO VIS</w:t>
      </w:r>
    </w:p>
    <w:p w14:paraId="3B6052D0" w14:textId="77777777" w:rsidR="00370918" w:rsidRDefault="00370918" w:rsidP="00602258">
      <w:pPr>
        <w:ind w:left="426" w:right="567"/>
        <w:rPr>
          <w:rFonts w:cs="Arial"/>
          <w:b/>
          <w:bCs/>
          <w:sz w:val="24"/>
          <w:szCs w:val="24"/>
          <w:lang w:val="es-CO"/>
        </w:rPr>
      </w:pPr>
    </w:p>
    <w:p w14:paraId="4438CE12" w14:textId="3C3C6089" w:rsidR="00321A13" w:rsidRDefault="008F5F21" w:rsidP="00602258">
      <w:pPr>
        <w:ind w:left="426" w:right="567"/>
        <w:rPr>
          <w:rFonts w:cs="Arial"/>
          <w:sz w:val="24"/>
          <w:szCs w:val="24"/>
          <w:lang w:val="es-CO"/>
        </w:rPr>
      </w:pPr>
      <w:r w:rsidRPr="00AD5B04">
        <w:rPr>
          <w:rFonts w:cs="Arial"/>
          <w:b/>
          <w:bCs/>
          <w:sz w:val="24"/>
          <w:szCs w:val="24"/>
          <w:lang w:val="es-CO"/>
        </w:rPr>
        <w:t>Nacional –</w:t>
      </w:r>
      <w:r>
        <w:rPr>
          <w:rFonts w:cs="Arial"/>
          <w:b/>
          <w:bCs/>
          <w:sz w:val="24"/>
          <w:szCs w:val="24"/>
          <w:lang w:val="es-CO"/>
        </w:rPr>
        <w:t xml:space="preserve"> </w:t>
      </w:r>
      <w:proofErr w:type="gramStart"/>
      <w:r w:rsidR="00743DD4">
        <w:rPr>
          <w:rFonts w:cs="Arial"/>
          <w:b/>
          <w:bCs/>
          <w:sz w:val="24"/>
          <w:szCs w:val="24"/>
          <w:lang w:val="es-CO"/>
        </w:rPr>
        <w:t>Mayo</w:t>
      </w:r>
      <w:proofErr w:type="gramEnd"/>
      <w:r w:rsidR="00743DD4">
        <w:rPr>
          <w:rFonts w:cs="Arial"/>
          <w:b/>
          <w:bCs/>
          <w:sz w:val="24"/>
          <w:szCs w:val="24"/>
          <w:lang w:val="es-CO"/>
        </w:rPr>
        <w:t xml:space="preserve"> </w:t>
      </w:r>
      <w:r w:rsidR="00744F64">
        <w:rPr>
          <w:rFonts w:cs="Arial"/>
          <w:b/>
          <w:bCs/>
          <w:sz w:val="24"/>
          <w:szCs w:val="24"/>
          <w:lang w:val="es-CO"/>
        </w:rPr>
        <w:t xml:space="preserve">24 </w:t>
      </w:r>
      <w:r w:rsidRPr="00AD5B04">
        <w:rPr>
          <w:rFonts w:cs="Arial"/>
          <w:b/>
          <w:bCs/>
          <w:sz w:val="24"/>
          <w:szCs w:val="24"/>
          <w:lang w:val="es-CO"/>
        </w:rPr>
        <w:t>de 202</w:t>
      </w:r>
      <w:r>
        <w:rPr>
          <w:rFonts w:cs="Arial"/>
          <w:b/>
          <w:bCs/>
          <w:sz w:val="24"/>
          <w:szCs w:val="24"/>
          <w:lang w:val="es-CO"/>
        </w:rPr>
        <w:t>1</w:t>
      </w:r>
      <w:r w:rsidRPr="00AD5B04">
        <w:rPr>
          <w:rFonts w:cs="Arial"/>
          <w:b/>
          <w:bCs/>
          <w:sz w:val="24"/>
          <w:szCs w:val="24"/>
          <w:lang w:val="es-CO"/>
        </w:rPr>
        <w:t xml:space="preserve">. </w:t>
      </w:r>
      <w:bookmarkEnd w:id="1"/>
      <w:r w:rsidR="00262E4C" w:rsidRPr="00262E4C">
        <w:rPr>
          <w:rFonts w:cs="Arial"/>
          <w:sz w:val="24"/>
          <w:szCs w:val="24"/>
          <w:lang w:val="es-CO"/>
        </w:rPr>
        <w:t xml:space="preserve">Scotiabank Colpatria ha desembolsado </w:t>
      </w:r>
      <w:r w:rsidR="005727BC" w:rsidRPr="00CC1545">
        <w:rPr>
          <w:rFonts w:cs="Arial"/>
          <w:sz w:val="24"/>
          <w:szCs w:val="24"/>
          <w:lang w:val="es-CO"/>
        </w:rPr>
        <w:t>$</w:t>
      </w:r>
      <w:r w:rsidR="003B181B" w:rsidRPr="00CC1545">
        <w:rPr>
          <w:rFonts w:cs="Arial"/>
          <w:sz w:val="24"/>
          <w:szCs w:val="24"/>
          <w:lang w:val="es-CO"/>
        </w:rPr>
        <w:t>100</w:t>
      </w:r>
      <w:r w:rsidR="005727BC" w:rsidRPr="00CC1545">
        <w:rPr>
          <w:rFonts w:cs="Arial"/>
          <w:sz w:val="24"/>
          <w:szCs w:val="24"/>
          <w:lang w:val="es-CO"/>
        </w:rPr>
        <w:t>.159</w:t>
      </w:r>
      <w:r w:rsidR="003B181B" w:rsidRPr="00CC1545">
        <w:rPr>
          <w:rFonts w:cs="Arial"/>
          <w:sz w:val="24"/>
          <w:szCs w:val="24"/>
          <w:lang w:val="es-CO"/>
        </w:rPr>
        <w:t xml:space="preserve"> millones</w:t>
      </w:r>
      <w:r w:rsidR="003B181B" w:rsidRPr="00262E4C">
        <w:rPr>
          <w:rFonts w:cs="Arial"/>
          <w:sz w:val="24"/>
          <w:szCs w:val="24"/>
          <w:lang w:val="es-CO"/>
        </w:rPr>
        <w:t xml:space="preserve"> de pesos</w:t>
      </w:r>
      <w:r w:rsidR="003B181B">
        <w:rPr>
          <w:rFonts w:cs="Arial"/>
          <w:sz w:val="24"/>
          <w:szCs w:val="24"/>
          <w:lang w:val="es-CO"/>
        </w:rPr>
        <w:t xml:space="preserve"> representados en 635 </w:t>
      </w:r>
      <w:r w:rsidR="00262E4C" w:rsidRPr="00262E4C">
        <w:rPr>
          <w:rFonts w:cs="Arial"/>
          <w:sz w:val="24"/>
          <w:szCs w:val="24"/>
          <w:lang w:val="es-CO"/>
        </w:rPr>
        <w:t xml:space="preserve">créditos de vivienda </w:t>
      </w:r>
      <w:r w:rsidR="003B181B">
        <w:rPr>
          <w:rFonts w:cs="Arial"/>
          <w:sz w:val="24"/>
          <w:szCs w:val="24"/>
          <w:lang w:val="es-CO"/>
        </w:rPr>
        <w:t xml:space="preserve">con cobertura </w:t>
      </w:r>
      <w:r w:rsidR="00602258">
        <w:rPr>
          <w:rFonts w:cs="Arial"/>
          <w:sz w:val="24"/>
          <w:szCs w:val="24"/>
          <w:lang w:val="es-CO"/>
        </w:rPr>
        <w:t>de</w:t>
      </w:r>
      <w:r w:rsidR="00602258" w:rsidRPr="00602258">
        <w:rPr>
          <w:rFonts w:cs="Arial"/>
          <w:sz w:val="24"/>
          <w:szCs w:val="24"/>
          <w:lang w:val="es-CO"/>
        </w:rPr>
        <w:t>l Fondo de Reserva para la Estabilización de la Cartera Hipotecaria</w:t>
      </w:r>
      <w:r w:rsidR="00602258">
        <w:rPr>
          <w:rFonts w:cs="Arial"/>
          <w:sz w:val="24"/>
          <w:szCs w:val="24"/>
          <w:lang w:val="es-CO"/>
        </w:rPr>
        <w:t xml:space="preserve"> (</w:t>
      </w:r>
      <w:r w:rsidR="003B181B">
        <w:rPr>
          <w:rFonts w:cs="Arial"/>
          <w:sz w:val="24"/>
          <w:szCs w:val="24"/>
          <w:lang w:val="es-CO"/>
        </w:rPr>
        <w:t>FRECH</w:t>
      </w:r>
      <w:r w:rsidR="00602258">
        <w:rPr>
          <w:rFonts w:cs="Arial"/>
          <w:sz w:val="24"/>
          <w:szCs w:val="24"/>
          <w:lang w:val="es-CO"/>
        </w:rPr>
        <w:t>)</w:t>
      </w:r>
      <w:r w:rsidR="003B181B">
        <w:rPr>
          <w:rFonts w:cs="Arial"/>
          <w:sz w:val="24"/>
          <w:szCs w:val="24"/>
          <w:lang w:val="es-CO"/>
        </w:rPr>
        <w:t xml:space="preserve"> NO VIS</w:t>
      </w:r>
      <w:r w:rsidR="00380AFB">
        <w:rPr>
          <w:rFonts w:cs="Arial"/>
          <w:sz w:val="24"/>
          <w:szCs w:val="24"/>
          <w:lang w:val="es-CO"/>
        </w:rPr>
        <w:t xml:space="preserve">, desde </w:t>
      </w:r>
      <w:r w:rsidR="00BA3BEE">
        <w:rPr>
          <w:rFonts w:cs="Arial"/>
          <w:sz w:val="24"/>
          <w:szCs w:val="24"/>
          <w:lang w:val="es-CO"/>
        </w:rPr>
        <w:t xml:space="preserve">la habilitación de este </w:t>
      </w:r>
      <w:r w:rsidR="00321A13">
        <w:rPr>
          <w:rFonts w:cs="Arial"/>
          <w:sz w:val="24"/>
          <w:szCs w:val="24"/>
          <w:lang w:val="es-CO"/>
        </w:rPr>
        <w:t xml:space="preserve">subsidio de hasta $438.901 </w:t>
      </w:r>
      <w:r w:rsidR="00BA3BEE">
        <w:rPr>
          <w:rFonts w:cs="Arial"/>
          <w:sz w:val="24"/>
          <w:szCs w:val="24"/>
          <w:lang w:val="es-CO"/>
        </w:rPr>
        <w:t xml:space="preserve">mensuales </w:t>
      </w:r>
      <w:r w:rsidR="00321A13">
        <w:rPr>
          <w:rFonts w:cs="Arial"/>
          <w:sz w:val="24"/>
          <w:szCs w:val="24"/>
          <w:lang w:val="es-CO"/>
        </w:rPr>
        <w:t xml:space="preserve">para </w:t>
      </w:r>
      <w:r w:rsidR="00602258">
        <w:rPr>
          <w:rFonts w:cs="Arial"/>
          <w:sz w:val="24"/>
          <w:szCs w:val="24"/>
          <w:lang w:val="es-CO"/>
        </w:rPr>
        <w:t xml:space="preserve">apoyar el pago de </w:t>
      </w:r>
      <w:r w:rsidR="00321A13">
        <w:rPr>
          <w:rFonts w:cs="Arial"/>
          <w:sz w:val="24"/>
          <w:szCs w:val="24"/>
          <w:lang w:val="es-CO"/>
        </w:rPr>
        <w:t>los intereses durante los primeros siete años del préstamo.</w:t>
      </w:r>
    </w:p>
    <w:p w14:paraId="6033C989" w14:textId="3DC77EA9" w:rsidR="003B181B" w:rsidRDefault="003B181B" w:rsidP="00262E4C">
      <w:pPr>
        <w:ind w:left="426" w:right="567"/>
        <w:rPr>
          <w:rFonts w:cs="Arial"/>
          <w:sz w:val="24"/>
          <w:szCs w:val="24"/>
          <w:lang w:val="es-CO"/>
        </w:rPr>
      </w:pPr>
    </w:p>
    <w:p w14:paraId="01983E43" w14:textId="0636A369" w:rsidR="00484550" w:rsidRDefault="003B181B" w:rsidP="00AF4AC9">
      <w:pPr>
        <w:ind w:left="426" w:right="567"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>“</w:t>
      </w:r>
      <w:r w:rsidR="00BA3BEE">
        <w:rPr>
          <w:rFonts w:cs="Arial"/>
          <w:sz w:val="24"/>
          <w:szCs w:val="24"/>
          <w:lang w:val="es-CO"/>
        </w:rPr>
        <w:t>Hemos llegado a estos desembolsos de viviendas NO VIS g</w:t>
      </w:r>
      <w:r>
        <w:rPr>
          <w:rFonts w:cs="Arial"/>
          <w:sz w:val="24"/>
          <w:szCs w:val="24"/>
          <w:lang w:val="es-CO"/>
        </w:rPr>
        <w:t xml:space="preserve">racias a los programas de vivienda implementados por el Gobierno nacional </w:t>
      </w:r>
      <w:r w:rsidR="00262E4C">
        <w:rPr>
          <w:rFonts w:cs="Arial"/>
          <w:sz w:val="24"/>
          <w:szCs w:val="24"/>
          <w:lang w:val="es-CO"/>
        </w:rPr>
        <w:t>y al competitivo portafolio de servicios y tasas de interés</w:t>
      </w:r>
      <w:r>
        <w:rPr>
          <w:rFonts w:cs="Arial"/>
          <w:sz w:val="24"/>
          <w:szCs w:val="24"/>
          <w:lang w:val="es-CO"/>
        </w:rPr>
        <w:t xml:space="preserve"> ofrecidos por </w:t>
      </w:r>
      <w:r w:rsidR="00262E4C">
        <w:rPr>
          <w:rFonts w:cs="Arial"/>
          <w:sz w:val="24"/>
          <w:szCs w:val="24"/>
          <w:lang w:val="es-CO"/>
        </w:rPr>
        <w:t>Scotiabank Colpatria</w:t>
      </w:r>
      <w:r w:rsidR="00484550">
        <w:rPr>
          <w:rFonts w:cs="Arial"/>
          <w:sz w:val="24"/>
          <w:szCs w:val="24"/>
          <w:lang w:val="es-CO"/>
        </w:rPr>
        <w:t xml:space="preserve"> (…) </w:t>
      </w:r>
      <w:r w:rsidR="00BA3BEE">
        <w:rPr>
          <w:rFonts w:cs="Arial"/>
          <w:sz w:val="24"/>
          <w:szCs w:val="24"/>
          <w:lang w:val="es-CO"/>
        </w:rPr>
        <w:t xml:space="preserve">nuestra meta es financiar más de 3.800 viviendas en </w:t>
      </w:r>
      <w:r w:rsidR="00484550">
        <w:rPr>
          <w:rFonts w:cs="Arial"/>
          <w:sz w:val="24"/>
          <w:szCs w:val="24"/>
          <w:lang w:val="es-CO"/>
        </w:rPr>
        <w:t xml:space="preserve">2021 </w:t>
      </w:r>
      <w:r w:rsidR="00BA3BEE">
        <w:rPr>
          <w:rFonts w:cs="Arial"/>
          <w:sz w:val="24"/>
          <w:szCs w:val="24"/>
          <w:lang w:val="es-CO"/>
        </w:rPr>
        <w:t xml:space="preserve">con esta cobertura a la tasa de interés”, manifestó Jaime Alberto Upegui, presidente de Scotiabank Colpatria.   </w:t>
      </w:r>
    </w:p>
    <w:p w14:paraId="4D56C3D0" w14:textId="14A2E5D8" w:rsidR="00AF4AC9" w:rsidRDefault="00AF4AC9" w:rsidP="00AF4AC9">
      <w:pPr>
        <w:ind w:left="426" w:right="567"/>
        <w:rPr>
          <w:rFonts w:cs="Arial"/>
          <w:sz w:val="24"/>
          <w:szCs w:val="24"/>
          <w:lang w:val="es-CO"/>
        </w:rPr>
      </w:pPr>
    </w:p>
    <w:p w14:paraId="48585CCB" w14:textId="3EF2AEF1" w:rsidR="00AF4AC9" w:rsidRDefault="00DC64CC" w:rsidP="00AF4AC9">
      <w:pPr>
        <w:ind w:left="426" w:right="567"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>Adicional a los créditos de vivienda otorgados por la Entidad con el</w:t>
      </w:r>
      <w:r w:rsidR="00AF4AC9" w:rsidRPr="00AF4AC9">
        <w:rPr>
          <w:rFonts w:cs="Arial"/>
          <w:sz w:val="24"/>
          <w:szCs w:val="24"/>
          <w:lang w:val="es-CO"/>
        </w:rPr>
        <w:t xml:space="preserve"> alivio a los intereses del crédito aplicado en pesos por 84 meses de hasta 42 salarios mínimos legales mensuales</w:t>
      </w:r>
      <w:r>
        <w:rPr>
          <w:rFonts w:cs="Arial"/>
          <w:sz w:val="24"/>
          <w:szCs w:val="24"/>
          <w:lang w:val="es-CO"/>
        </w:rPr>
        <w:t xml:space="preserve"> vigentes</w:t>
      </w:r>
      <w:r w:rsidR="00AF4AC9" w:rsidRPr="00AF4AC9">
        <w:rPr>
          <w:rFonts w:cs="Arial"/>
          <w:sz w:val="24"/>
          <w:szCs w:val="24"/>
          <w:lang w:val="es-CO"/>
        </w:rPr>
        <w:t xml:space="preserve"> (SMLMV)</w:t>
      </w:r>
      <w:r>
        <w:rPr>
          <w:rFonts w:cs="Arial"/>
          <w:sz w:val="24"/>
          <w:szCs w:val="24"/>
          <w:lang w:val="es-CO"/>
        </w:rPr>
        <w:t>, el comportamiento en el primer trimestre del 2021 ha sido positivo.</w:t>
      </w:r>
      <w:r w:rsidR="00141381">
        <w:rPr>
          <w:rFonts w:cs="Arial"/>
          <w:sz w:val="24"/>
          <w:szCs w:val="24"/>
          <w:lang w:val="es-CO"/>
        </w:rPr>
        <w:t xml:space="preserve"> Cifras de Scotiabank Colpatria dan cuenta que del 1 de enero al 31 de marzo se </w:t>
      </w:r>
      <w:r w:rsidR="00370918">
        <w:rPr>
          <w:rFonts w:cs="Arial"/>
          <w:sz w:val="24"/>
          <w:szCs w:val="24"/>
          <w:lang w:val="es-CO"/>
        </w:rPr>
        <w:t xml:space="preserve">desembolsaron </w:t>
      </w:r>
      <w:r w:rsidR="00141381">
        <w:rPr>
          <w:rFonts w:cs="Arial"/>
          <w:sz w:val="24"/>
          <w:szCs w:val="24"/>
          <w:lang w:val="es-CO"/>
        </w:rPr>
        <w:t xml:space="preserve">más de 1.700 créditos de vivienda por un valor cercano a los 327 mil millones de pesos. De ellos, el 89.54 % corresponde a vivienda NO VIS. </w:t>
      </w:r>
    </w:p>
    <w:p w14:paraId="6D091C2C" w14:textId="44D79382" w:rsidR="00141381" w:rsidRDefault="00141381" w:rsidP="00AF4AC9">
      <w:pPr>
        <w:ind w:left="426" w:right="567"/>
        <w:rPr>
          <w:rFonts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665"/>
        <w:gridCol w:w="2154"/>
      </w:tblGrid>
      <w:tr w:rsidR="009A1940" w14:paraId="5B4175D6" w14:textId="0FD77CDF" w:rsidTr="00602258">
        <w:trPr>
          <w:jc w:val="center"/>
        </w:trPr>
        <w:tc>
          <w:tcPr>
            <w:tcW w:w="8500" w:type="dxa"/>
            <w:gridSpan w:val="3"/>
          </w:tcPr>
          <w:p w14:paraId="58DE234B" w14:textId="053AB996" w:rsidR="009A1940" w:rsidRDefault="009A1940" w:rsidP="00141381">
            <w:pPr>
              <w:ind w:right="567"/>
              <w:jc w:val="center"/>
              <w:rPr>
                <w:rFonts w:cs="Arial"/>
                <w:b/>
                <w:bCs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CO"/>
              </w:rPr>
              <w:t xml:space="preserve">Desembolsos créditos de vivienda Scotiabank Colpatria </w:t>
            </w:r>
            <w:r w:rsidRPr="00141381">
              <w:rPr>
                <w:rFonts w:cs="Arial"/>
                <w:b/>
                <w:bCs/>
                <w:sz w:val="24"/>
                <w:szCs w:val="24"/>
                <w:lang w:val="es-CO"/>
              </w:rPr>
              <w:t>– Primer trimestre de 2021</w:t>
            </w:r>
          </w:p>
        </w:tc>
      </w:tr>
      <w:tr w:rsidR="009A1940" w14:paraId="515F7097" w14:textId="5CFCDB7F" w:rsidTr="00602258">
        <w:trPr>
          <w:jc w:val="center"/>
        </w:trPr>
        <w:tc>
          <w:tcPr>
            <w:tcW w:w="3681" w:type="dxa"/>
          </w:tcPr>
          <w:p w14:paraId="7952883A" w14:textId="57437377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Ciudad</w:t>
            </w:r>
          </w:p>
        </w:tc>
        <w:tc>
          <w:tcPr>
            <w:tcW w:w="2665" w:type="dxa"/>
          </w:tcPr>
          <w:p w14:paraId="6E411214" w14:textId="4A615F89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Valor*</w:t>
            </w:r>
          </w:p>
        </w:tc>
        <w:tc>
          <w:tcPr>
            <w:tcW w:w="2154" w:type="dxa"/>
          </w:tcPr>
          <w:p w14:paraId="6B7D7C83" w14:textId="0B795FEB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Número de desembolsos</w:t>
            </w:r>
          </w:p>
        </w:tc>
      </w:tr>
      <w:tr w:rsidR="009A1940" w14:paraId="25A71185" w14:textId="481EA493" w:rsidTr="00602258">
        <w:trPr>
          <w:jc w:val="center"/>
        </w:trPr>
        <w:tc>
          <w:tcPr>
            <w:tcW w:w="3681" w:type="dxa"/>
          </w:tcPr>
          <w:p w14:paraId="556F3D47" w14:textId="1561D44B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Bogotá</w:t>
            </w:r>
          </w:p>
        </w:tc>
        <w:tc>
          <w:tcPr>
            <w:tcW w:w="2665" w:type="dxa"/>
          </w:tcPr>
          <w:p w14:paraId="278EA044" w14:textId="16C82080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$208.003</w:t>
            </w:r>
          </w:p>
        </w:tc>
        <w:tc>
          <w:tcPr>
            <w:tcW w:w="2154" w:type="dxa"/>
          </w:tcPr>
          <w:p w14:paraId="5A9C8653" w14:textId="79813D9D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991</w:t>
            </w:r>
          </w:p>
        </w:tc>
      </w:tr>
      <w:tr w:rsidR="009A1940" w14:paraId="72AE0497" w14:textId="41D9FFB6" w:rsidTr="00602258">
        <w:trPr>
          <w:jc w:val="center"/>
        </w:trPr>
        <w:tc>
          <w:tcPr>
            <w:tcW w:w="3681" w:type="dxa"/>
          </w:tcPr>
          <w:p w14:paraId="1557D35E" w14:textId="07FBCF8C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Medellín</w:t>
            </w:r>
          </w:p>
        </w:tc>
        <w:tc>
          <w:tcPr>
            <w:tcW w:w="2665" w:type="dxa"/>
          </w:tcPr>
          <w:p w14:paraId="65546B87" w14:textId="06E15467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$62.989</w:t>
            </w:r>
          </w:p>
        </w:tc>
        <w:tc>
          <w:tcPr>
            <w:tcW w:w="2154" w:type="dxa"/>
          </w:tcPr>
          <w:p w14:paraId="6333AF9F" w14:textId="5A575761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381</w:t>
            </w:r>
          </w:p>
        </w:tc>
      </w:tr>
      <w:tr w:rsidR="009A1940" w14:paraId="74DE4C19" w14:textId="50E5640B" w:rsidTr="00602258">
        <w:trPr>
          <w:jc w:val="center"/>
        </w:trPr>
        <w:tc>
          <w:tcPr>
            <w:tcW w:w="3681" w:type="dxa"/>
          </w:tcPr>
          <w:p w14:paraId="18F2F9F0" w14:textId="79DD919B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Cali</w:t>
            </w:r>
          </w:p>
        </w:tc>
        <w:tc>
          <w:tcPr>
            <w:tcW w:w="2665" w:type="dxa"/>
          </w:tcPr>
          <w:p w14:paraId="3C6B2103" w14:textId="4E5C7059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$12.297</w:t>
            </w:r>
          </w:p>
        </w:tc>
        <w:tc>
          <w:tcPr>
            <w:tcW w:w="2154" w:type="dxa"/>
          </w:tcPr>
          <w:p w14:paraId="0B3BC873" w14:textId="2A45DD51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90</w:t>
            </w:r>
          </w:p>
        </w:tc>
      </w:tr>
      <w:tr w:rsidR="009A1940" w14:paraId="3F189300" w14:textId="0F859E13" w:rsidTr="00602258">
        <w:trPr>
          <w:jc w:val="center"/>
        </w:trPr>
        <w:tc>
          <w:tcPr>
            <w:tcW w:w="3681" w:type="dxa"/>
          </w:tcPr>
          <w:p w14:paraId="0F1A5D63" w14:textId="317348C8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 xml:space="preserve">Barranquilla </w:t>
            </w:r>
          </w:p>
        </w:tc>
        <w:tc>
          <w:tcPr>
            <w:tcW w:w="2665" w:type="dxa"/>
          </w:tcPr>
          <w:p w14:paraId="017D4DA6" w14:textId="7A73BFD2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$9.999</w:t>
            </w:r>
          </w:p>
        </w:tc>
        <w:tc>
          <w:tcPr>
            <w:tcW w:w="2154" w:type="dxa"/>
          </w:tcPr>
          <w:p w14:paraId="140DFE85" w14:textId="2D040DA5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75</w:t>
            </w:r>
          </w:p>
        </w:tc>
      </w:tr>
      <w:tr w:rsidR="009A1940" w14:paraId="47857F6D" w14:textId="77E9EFF5" w:rsidTr="00602258">
        <w:trPr>
          <w:jc w:val="center"/>
        </w:trPr>
        <w:tc>
          <w:tcPr>
            <w:tcW w:w="3681" w:type="dxa"/>
          </w:tcPr>
          <w:p w14:paraId="638E4E86" w14:textId="2EBBF181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lastRenderedPageBreak/>
              <w:t>Bucaramanga</w:t>
            </w:r>
          </w:p>
        </w:tc>
        <w:tc>
          <w:tcPr>
            <w:tcW w:w="2665" w:type="dxa"/>
          </w:tcPr>
          <w:p w14:paraId="6567506E" w14:textId="024FC244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$9.683</w:t>
            </w:r>
          </w:p>
        </w:tc>
        <w:tc>
          <w:tcPr>
            <w:tcW w:w="2154" w:type="dxa"/>
          </w:tcPr>
          <w:p w14:paraId="64A77A52" w14:textId="4541A47A" w:rsidR="009A1940" w:rsidRDefault="009A1940" w:rsidP="00AF4AC9">
            <w:pPr>
              <w:ind w:right="567"/>
              <w:rPr>
                <w:rFonts w:cs="Arial"/>
                <w:sz w:val="24"/>
                <w:szCs w:val="24"/>
                <w:lang w:val="es-CO"/>
              </w:rPr>
            </w:pPr>
            <w:r>
              <w:rPr>
                <w:rFonts w:cs="Arial"/>
                <w:sz w:val="24"/>
                <w:szCs w:val="24"/>
                <w:lang w:val="es-CO"/>
              </w:rPr>
              <w:t>77</w:t>
            </w:r>
          </w:p>
        </w:tc>
      </w:tr>
    </w:tbl>
    <w:p w14:paraId="1D42CEBA" w14:textId="3BEFFFCB" w:rsidR="00141381" w:rsidRDefault="009A1940" w:rsidP="00AF4AC9">
      <w:pPr>
        <w:ind w:left="426" w:right="567"/>
        <w:rPr>
          <w:rFonts w:cs="Arial"/>
          <w:sz w:val="24"/>
          <w:szCs w:val="24"/>
          <w:lang w:val="es-CO"/>
        </w:rPr>
      </w:pPr>
      <w:r>
        <w:rPr>
          <w:rFonts w:ascii="Verdana" w:hAnsi="Verdana"/>
          <w:color w:val="111111"/>
          <w:sz w:val="21"/>
          <w:szCs w:val="21"/>
          <w:shd w:val="clear" w:color="auto" w:fill="FFFFFF"/>
        </w:rPr>
        <w:t>*Cifras internas de Scotiabank Colpatria representadas en miles de millones de pesos.</w:t>
      </w:r>
    </w:p>
    <w:p w14:paraId="439EB719" w14:textId="77777777" w:rsidR="009A1940" w:rsidRDefault="009A1940" w:rsidP="00AF4AC9">
      <w:pPr>
        <w:ind w:left="426" w:right="567"/>
        <w:rPr>
          <w:rFonts w:cs="Arial"/>
          <w:sz w:val="24"/>
          <w:szCs w:val="24"/>
          <w:lang w:val="es-CO"/>
        </w:rPr>
      </w:pPr>
    </w:p>
    <w:p w14:paraId="0FE381D0" w14:textId="3306ED28" w:rsidR="00141381" w:rsidRDefault="00CB53F3" w:rsidP="00AF4AC9">
      <w:pPr>
        <w:ind w:left="426" w:right="567"/>
        <w:rPr>
          <w:rFonts w:cs="Arial"/>
          <w:sz w:val="24"/>
          <w:szCs w:val="24"/>
          <w:lang w:val="es-CO"/>
        </w:rPr>
      </w:pPr>
      <w:r>
        <w:rPr>
          <w:rFonts w:cs="Arial"/>
          <w:sz w:val="24"/>
          <w:szCs w:val="24"/>
          <w:lang w:val="es-CO"/>
        </w:rPr>
        <w:t xml:space="preserve">“A marzo de 2021 contamos con una cartera de $5.1 billones de pesos (…) sólo en el 2020 desembolsamos más de 6.500 créditos de vivienda por valor de $1.03 billones, de los cuales el </w:t>
      </w:r>
      <w:r w:rsidRPr="00CC1545">
        <w:rPr>
          <w:rFonts w:cs="Arial"/>
          <w:sz w:val="24"/>
          <w:szCs w:val="24"/>
          <w:lang w:val="es-CO"/>
        </w:rPr>
        <w:t>8</w:t>
      </w:r>
      <w:r w:rsidR="005727BC" w:rsidRPr="00CC1545">
        <w:rPr>
          <w:rFonts w:cs="Arial"/>
          <w:sz w:val="24"/>
          <w:szCs w:val="24"/>
          <w:lang w:val="es-CO"/>
        </w:rPr>
        <w:t xml:space="preserve">1.1 </w:t>
      </w:r>
      <w:r w:rsidRPr="00CC1545">
        <w:rPr>
          <w:rFonts w:cs="Arial"/>
          <w:sz w:val="24"/>
          <w:szCs w:val="24"/>
          <w:lang w:val="es-CO"/>
        </w:rPr>
        <w:t>%</w:t>
      </w:r>
      <w:r>
        <w:rPr>
          <w:rFonts w:cs="Arial"/>
          <w:sz w:val="24"/>
          <w:szCs w:val="24"/>
          <w:lang w:val="es-CO"/>
        </w:rPr>
        <w:t xml:space="preserve"> correspond</w:t>
      </w:r>
      <w:r w:rsidR="00602258">
        <w:rPr>
          <w:rFonts w:cs="Arial"/>
          <w:sz w:val="24"/>
          <w:szCs w:val="24"/>
          <w:lang w:val="es-CO"/>
        </w:rPr>
        <w:t>ieron</w:t>
      </w:r>
      <w:r>
        <w:rPr>
          <w:rFonts w:cs="Arial"/>
          <w:sz w:val="24"/>
          <w:szCs w:val="24"/>
          <w:lang w:val="es-CO"/>
        </w:rPr>
        <w:t xml:space="preserve"> a vivienda NO VIS. Con la reactivación económica y co</w:t>
      </w:r>
      <w:r w:rsidR="009A1940">
        <w:rPr>
          <w:rFonts w:cs="Arial"/>
          <w:sz w:val="24"/>
          <w:szCs w:val="24"/>
          <w:lang w:val="es-CO"/>
        </w:rPr>
        <w:t xml:space="preserve">n los productos y servicios ofrecidos por la entidad, esperamos que la cifra aumente y que más colombianos se conviertan en propietarios”, recalcó el presidente de Scotiabank Colpatria, Jaime Alberto Upegui. </w:t>
      </w:r>
    </w:p>
    <w:p w14:paraId="2BC4F09F" w14:textId="77777777" w:rsidR="00602258" w:rsidRDefault="00602258" w:rsidP="00AF4AC9">
      <w:pPr>
        <w:ind w:left="426" w:right="567"/>
        <w:rPr>
          <w:rFonts w:cs="Arial"/>
          <w:sz w:val="24"/>
          <w:szCs w:val="24"/>
          <w:lang w:val="es-CO"/>
        </w:rPr>
      </w:pPr>
    </w:p>
    <w:p w14:paraId="369B3A05" w14:textId="226D27A4" w:rsidR="009A1940" w:rsidRDefault="009A1940" w:rsidP="00AF4AC9">
      <w:pPr>
        <w:ind w:left="426" w:right="567"/>
        <w:rPr>
          <w:rFonts w:cs="Arial"/>
          <w:sz w:val="24"/>
          <w:szCs w:val="24"/>
          <w:lang w:val="es-CO"/>
        </w:rPr>
      </w:pPr>
      <w:r w:rsidRPr="009A1940">
        <w:rPr>
          <w:rFonts w:cs="Arial"/>
          <w:sz w:val="24"/>
          <w:szCs w:val="24"/>
          <w:lang w:val="es-CO"/>
        </w:rPr>
        <w:t xml:space="preserve">Los interesados en acceder a un crédito hipotecario o leasing habitacional con Scotiabank, pueden consultar la página </w:t>
      </w:r>
      <w:hyperlink r:id="rId11" w:history="1">
        <w:r w:rsidRPr="002C295D">
          <w:rPr>
            <w:rStyle w:val="Hipervnculo"/>
            <w:rFonts w:cs="Arial"/>
            <w:sz w:val="24"/>
            <w:szCs w:val="24"/>
            <w:lang w:val="es-CO"/>
          </w:rPr>
          <w:t>https://www.scotiabankcolpatria.com/personas/hipotecario</w:t>
        </w:r>
      </w:hyperlink>
      <w:r>
        <w:rPr>
          <w:rFonts w:cs="Arial"/>
          <w:sz w:val="24"/>
          <w:szCs w:val="24"/>
          <w:lang w:val="es-CO"/>
        </w:rPr>
        <w:t xml:space="preserve"> </w:t>
      </w:r>
      <w:r w:rsidRPr="009A1940">
        <w:rPr>
          <w:rFonts w:cs="Arial"/>
          <w:sz w:val="24"/>
          <w:szCs w:val="24"/>
          <w:lang w:val="es-CO"/>
        </w:rPr>
        <w:t>acercarse a la sucursal bancaria más cercana o comunicarse con las líneas de atención en Bogotá: 605 7000 y a nivel nacional 01 8000 52 7000.</w:t>
      </w:r>
    </w:p>
    <w:p w14:paraId="37EDC79F" w14:textId="380FEE09" w:rsidR="009A1940" w:rsidRDefault="009A1940" w:rsidP="00AF4AC9">
      <w:pPr>
        <w:ind w:left="426" w:right="567"/>
        <w:rPr>
          <w:rFonts w:cs="Arial"/>
          <w:sz w:val="24"/>
          <w:szCs w:val="24"/>
          <w:lang w:val="es-CO"/>
        </w:rPr>
      </w:pPr>
    </w:p>
    <w:p w14:paraId="562BAFDA" w14:textId="77777777" w:rsidR="009A1940" w:rsidRDefault="009A1940" w:rsidP="00AF4AC9">
      <w:pPr>
        <w:ind w:left="426" w:right="567"/>
        <w:rPr>
          <w:rFonts w:cs="Arial"/>
          <w:sz w:val="24"/>
          <w:szCs w:val="24"/>
          <w:lang w:val="es-CO"/>
        </w:rPr>
      </w:pPr>
    </w:p>
    <w:p w14:paraId="10B42FAF" w14:textId="77777777" w:rsidR="007F5AFE" w:rsidRDefault="007F5AFE" w:rsidP="007F5AFE">
      <w:pPr>
        <w:ind w:left="426" w:right="567"/>
        <w:rPr>
          <w:rFonts w:cs="Arial"/>
          <w:b/>
          <w:bCs/>
          <w:color w:val="000000"/>
          <w:u w:val="single"/>
          <w:lang w:val="es-CO"/>
        </w:rPr>
      </w:pPr>
    </w:p>
    <w:p w14:paraId="0647A09E" w14:textId="002F0879" w:rsidR="00F3317F" w:rsidRPr="008E0BA9" w:rsidRDefault="00F3317F" w:rsidP="00F3317F">
      <w:pPr>
        <w:pStyle w:val="NormalWeb"/>
        <w:shd w:val="clear" w:color="auto" w:fill="FFFFFF"/>
        <w:spacing w:before="0" w:beforeAutospacing="0" w:after="0" w:afterAutospacing="0"/>
        <w:ind w:left="426" w:right="567"/>
        <w:jc w:val="both"/>
        <w:textAlignment w:val="baseline"/>
        <w:rPr>
          <w:rFonts w:ascii="Arial" w:hAnsi="Arial" w:cs="Arial"/>
          <w:color w:val="191820"/>
          <w:sz w:val="20"/>
          <w:szCs w:val="20"/>
          <w:lang w:val="es-CO"/>
        </w:rPr>
      </w:pPr>
      <w:r w:rsidRPr="008E0BA9">
        <w:rPr>
          <w:rFonts w:ascii="Arial" w:hAnsi="Arial" w:cs="Arial"/>
          <w:b/>
          <w:bCs/>
          <w:color w:val="000000"/>
          <w:sz w:val="20"/>
          <w:szCs w:val="20"/>
          <w:u w:val="single"/>
          <w:lang w:val="es-CO"/>
        </w:rPr>
        <w:t xml:space="preserve">Acerca de Scotiabank Colpatria </w:t>
      </w:r>
    </w:p>
    <w:p w14:paraId="04E98BAC" w14:textId="77777777" w:rsidR="00F3317F" w:rsidRPr="008E0BA9" w:rsidRDefault="00F3317F" w:rsidP="00F3317F">
      <w:pPr>
        <w:ind w:left="426" w:right="567"/>
        <w:rPr>
          <w:rFonts w:cs="Arial"/>
          <w:lang w:val="es-CO"/>
        </w:rPr>
      </w:pPr>
      <w:r w:rsidRPr="008E0BA9">
        <w:rPr>
          <w:rFonts w:cs="Arial"/>
          <w:b/>
          <w:bCs/>
          <w:lang w:val="es-CO"/>
        </w:rPr>
        <w:t>Scotiabank Colpatria</w:t>
      </w:r>
      <w:r w:rsidRPr="008E0BA9">
        <w:rPr>
          <w:rFonts w:cs="Arial"/>
          <w:lang w:val="es-CO"/>
        </w:rPr>
        <w:t xml:space="preserve"> cuenta con un amplio portafolio en el cual se destacan créditos a clientes del segmento Corporativo, Empresarial y Pyme, así como crédito de consumo, préstamos hipotecarios, entre otros. Es uno de los principales emisores de tarjetas de crédito (incluidas marcas compartidas), y de crédito rotativo. Tiene presencia en 33 ciudades colombianas, una amplia red de oficinas, corresponsalía bancaria y más de 700 cajeros automáticos a nivel nacional. Para acceder al variado portafolio de productos se puede consultar la página web: </w:t>
      </w:r>
      <w:hyperlink r:id="rId12" w:history="1">
        <w:r w:rsidRPr="008E0BA9">
          <w:rPr>
            <w:rStyle w:val="Hipervnculo"/>
            <w:rFonts w:cs="Arial"/>
            <w:lang w:val="es-CO"/>
          </w:rPr>
          <w:t>www.scotiabankcolpatria.com</w:t>
        </w:r>
      </w:hyperlink>
      <w:r w:rsidRPr="008E0BA9">
        <w:rPr>
          <w:rFonts w:cs="Arial"/>
          <w:lang w:val="es-CO"/>
        </w:rPr>
        <w:t>, con la fuerza comercial en las sucursales o en la línea de atención en Bogotá 756 1616 y a nivel nacional 01 8000 522222.</w:t>
      </w:r>
    </w:p>
    <w:p w14:paraId="0E9FE76C" w14:textId="77777777" w:rsidR="00F3317F" w:rsidRDefault="00F3317F" w:rsidP="00F3317F">
      <w:pPr>
        <w:ind w:left="426" w:right="567"/>
        <w:rPr>
          <w:rFonts w:cs="Arial"/>
          <w:b/>
          <w:bCs/>
          <w:u w:val="single"/>
          <w:lang w:val="es-CO"/>
        </w:rPr>
      </w:pPr>
    </w:p>
    <w:p w14:paraId="277DC952" w14:textId="77777777" w:rsidR="00F3317F" w:rsidRPr="008E0BA9" w:rsidRDefault="00F3317F" w:rsidP="00F3317F">
      <w:pPr>
        <w:ind w:left="426" w:right="567"/>
        <w:rPr>
          <w:rFonts w:cs="Arial"/>
          <w:b/>
          <w:bCs/>
          <w:u w:val="single"/>
          <w:lang w:val="es-CO"/>
        </w:rPr>
      </w:pPr>
      <w:r w:rsidRPr="008E0BA9">
        <w:rPr>
          <w:rFonts w:cs="Arial"/>
          <w:b/>
          <w:bCs/>
          <w:u w:val="single"/>
          <w:lang w:val="es-CO"/>
        </w:rPr>
        <w:t>Acerca de Scotiabank</w:t>
      </w:r>
    </w:p>
    <w:p w14:paraId="2673D659" w14:textId="1FA10C62" w:rsidR="003D0AC9" w:rsidRPr="00FC3935" w:rsidRDefault="00F3317F" w:rsidP="00F3317F">
      <w:pPr>
        <w:pStyle w:val="NormalWeb"/>
        <w:shd w:val="clear" w:color="auto" w:fill="FFFFFF"/>
        <w:spacing w:before="0" w:beforeAutospacing="0" w:after="0" w:afterAutospacing="0"/>
        <w:ind w:left="426" w:right="567"/>
        <w:jc w:val="both"/>
        <w:textAlignment w:val="baseline"/>
        <w:rPr>
          <w:rFonts w:cs="Arial"/>
          <w:lang w:val="es-CO"/>
        </w:rPr>
      </w:pPr>
      <w:r w:rsidRPr="000A6502">
        <w:rPr>
          <w:rFonts w:ascii="Arial" w:hAnsi="Arial" w:cs="Arial"/>
          <w:sz w:val="20"/>
          <w:szCs w:val="20"/>
          <w:lang w:val="es-419"/>
        </w:rPr>
        <w:t>Scotiabank es un banco líder en las Américas. Inspirándonos en nuestro propósito corporativo, “por nuestro futuro”, ayudamos a nuestros clientes, sus familias y sus comunidades a lograr el éxito a través de una completa gama de asesoría, productos y servicios en los sectores de banca personal y comercial, gestión patrimonial, banca privada, corporativa y de inversión, y mercados de capital. Con un equipo de aproximadamente 90,000 empleados y alrededor de $1.2 billones en activos (al 31 de enero de 2021), Scotiabank cotiza sus acciones en la Bolsa de Valores de Toronto (TSX: BNS) y la Bolsa de Valores de Nueva York (NYSE: BNS). Para obtener más información, visite http://www.scotiabank.com y síganos en Twitter @</w:t>
      </w:r>
      <w:proofErr w:type="spellStart"/>
      <w:r w:rsidRPr="000A6502">
        <w:rPr>
          <w:rFonts w:ascii="Arial" w:hAnsi="Arial" w:cs="Arial"/>
          <w:sz w:val="20"/>
          <w:szCs w:val="20"/>
          <w:lang w:val="es-419"/>
        </w:rPr>
        <w:t>ScotiabankViews</w:t>
      </w:r>
      <w:proofErr w:type="spellEnd"/>
      <w:r w:rsidRPr="000A6502">
        <w:rPr>
          <w:rFonts w:ascii="Arial" w:hAnsi="Arial" w:cs="Arial"/>
          <w:sz w:val="20"/>
          <w:szCs w:val="20"/>
          <w:lang w:val="es-419"/>
        </w:rPr>
        <w:t>.</w:t>
      </w:r>
    </w:p>
    <w:sectPr w:rsidR="003D0AC9" w:rsidRPr="00FC3935" w:rsidSect="00452B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" w:right="1325" w:bottom="1440" w:left="1276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29A60" w14:textId="77777777" w:rsidR="007971D5" w:rsidRDefault="007971D5" w:rsidP="00EF428A">
      <w:r>
        <w:separator/>
      </w:r>
    </w:p>
  </w:endnote>
  <w:endnote w:type="continuationSeparator" w:id="0">
    <w:p w14:paraId="6596CBB0" w14:textId="77777777" w:rsidR="007971D5" w:rsidRDefault="007971D5" w:rsidP="00EF428A">
      <w:r>
        <w:continuationSeparator/>
      </w:r>
    </w:p>
  </w:endnote>
  <w:endnote w:type="continuationNotice" w:id="1">
    <w:p w14:paraId="5A3E1845" w14:textId="77777777" w:rsidR="007971D5" w:rsidRDefault="00797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otia">
    <w:panose1 w:val="020B0503020203020204"/>
    <w:charset w:val="00"/>
    <w:family w:val="swiss"/>
    <w:pitch w:val="variable"/>
    <w:sig w:usb0="A000006F" w:usb1="0200005B" w:usb2="00000000" w:usb3="00000000" w:csb0="00000013" w:csb1="00000000"/>
  </w:font>
  <w:font w:name="Scoti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7F5B" w14:textId="77777777" w:rsidR="00246076" w:rsidRPr="00B84BA6" w:rsidRDefault="00246076" w:rsidP="00B84BA6">
    <w:pPr>
      <w:pStyle w:val="Piedepgina"/>
      <w:jc w:val="right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D116" w14:textId="77777777" w:rsidR="00616044" w:rsidRDefault="006C758A">
    <w:pPr>
      <w:pStyle w:val="Piedepgina"/>
      <w:rPr>
        <w:sz w:val="14"/>
      </w:rPr>
    </w:pPr>
    <w:r w:rsidRPr="00A40678">
      <w:rPr>
        <w:rFonts w:ascii="Scotia-Regular" w:hAnsi="Scotia-Regular" w:cs="Scotia-Regular"/>
        <w:color w:val="616060"/>
        <w:sz w:val="12"/>
        <w:szCs w:val="12"/>
      </w:rPr>
      <w:t>®</w:t>
    </w:r>
    <w:r w:rsidRPr="006C758A">
      <w:rPr>
        <w:sz w:val="14"/>
      </w:rPr>
      <w:t xml:space="preserve">Marca registrada de </w:t>
    </w:r>
    <w:proofErr w:type="spellStart"/>
    <w:r w:rsidRPr="006C758A">
      <w:rPr>
        <w:sz w:val="14"/>
      </w:rPr>
      <w:t>The</w:t>
    </w:r>
    <w:proofErr w:type="spellEnd"/>
    <w:r w:rsidRPr="006C758A">
      <w:rPr>
        <w:sz w:val="14"/>
      </w:rPr>
      <w:t xml:space="preserve"> Bank </w:t>
    </w:r>
    <w:proofErr w:type="spellStart"/>
    <w:r w:rsidRPr="006C758A">
      <w:rPr>
        <w:sz w:val="14"/>
      </w:rPr>
      <w:t>of</w:t>
    </w:r>
    <w:proofErr w:type="spellEnd"/>
    <w:r w:rsidRPr="006C758A">
      <w:rPr>
        <w:sz w:val="14"/>
      </w:rPr>
      <w:t xml:space="preserve"> Nova </w:t>
    </w:r>
    <w:proofErr w:type="spellStart"/>
    <w:r w:rsidRPr="006C758A">
      <w:rPr>
        <w:sz w:val="14"/>
      </w:rPr>
      <w:t>Scotia</w:t>
    </w:r>
    <w:proofErr w:type="spellEnd"/>
    <w:r w:rsidRPr="006C758A">
      <w:rPr>
        <w:sz w:val="14"/>
      </w:rPr>
      <w:t>, utilizada bajo licencia. Scotiabank Colpatria Establecimiento Bancario</w:t>
    </w:r>
  </w:p>
  <w:p w14:paraId="08961AA1" w14:textId="77777777" w:rsidR="00931E97" w:rsidRDefault="00931E97">
    <w:pPr>
      <w:pStyle w:val="Piedepgina"/>
      <w:rPr>
        <w:sz w:val="14"/>
      </w:rPr>
    </w:pPr>
  </w:p>
  <w:p w14:paraId="0188399B" w14:textId="77777777" w:rsidR="00167D9A" w:rsidRPr="00167D9A" w:rsidRDefault="007971D5" w:rsidP="00931E97">
    <w:pPr>
      <w:pStyle w:val="Piedepgina"/>
      <w:rPr>
        <w:b/>
        <w:color w:val="FF0000"/>
        <w:sz w:val="18"/>
        <w:szCs w:val="18"/>
      </w:rPr>
    </w:pPr>
    <w:hyperlink r:id="rId1" w:history="1">
      <w:r w:rsidR="00167D9A" w:rsidRPr="00167D9A">
        <w:rPr>
          <w:rStyle w:val="Hipervnculo"/>
          <w:b/>
          <w:color w:val="FF0000"/>
          <w:sz w:val="18"/>
          <w:szCs w:val="18"/>
          <w:u w:val="none"/>
        </w:rPr>
        <w:t>https://www.scotiabankcolpatria.com/sala-de-prensa</w:t>
      </w:r>
    </w:hyperlink>
  </w:p>
  <w:p w14:paraId="62169BBD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Carrera 7 No. 24-89</w:t>
    </w:r>
    <w:r w:rsidR="00167D9A" w:rsidRPr="00167D9A">
      <w:rPr>
        <w:b/>
        <w:color w:val="FF0000"/>
        <w:sz w:val="18"/>
        <w:szCs w:val="18"/>
      </w:rPr>
      <w:t xml:space="preserve"> Bogotá, Colombia.</w:t>
    </w:r>
  </w:p>
  <w:p w14:paraId="186196DA" w14:textId="77777777" w:rsidR="00167D9A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Línea de atención: </w:t>
    </w:r>
    <w:r w:rsidR="00167D9A" w:rsidRPr="00167D9A">
      <w:rPr>
        <w:b/>
        <w:color w:val="FF0000"/>
        <w:sz w:val="18"/>
        <w:szCs w:val="18"/>
      </w:rPr>
      <w:t xml:space="preserve">+57 (1) 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745 6300 </w:t>
    </w:r>
  </w:p>
  <w:p w14:paraId="72E4EB6E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Contacto Relaciones Públicas:</w:t>
    </w:r>
  </w:p>
  <w:p w14:paraId="5328CAAE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Maria Mercedes Ruiz - Cel: 320 3735194</w:t>
    </w:r>
  </w:p>
  <w:p w14:paraId="5EF44874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Iván Sánchez – Cel: 311 5265428</w:t>
    </w:r>
  </w:p>
  <w:p w14:paraId="5C8C82C6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Camilo Hurtado – Cel: 316 2732345 </w:t>
    </w:r>
  </w:p>
  <w:p w14:paraId="1581D0B5" w14:textId="77777777" w:rsidR="00931E97" w:rsidRDefault="00931E97">
    <w:pPr>
      <w:pStyle w:val="Piedepgina"/>
    </w:pPr>
  </w:p>
  <w:p w14:paraId="30305D03" w14:textId="77777777" w:rsidR="00246076" w:rsidRPr="00784925" w:rsidRDefault="00246076" w:rsidP="00784925">
    <w:pPr>
      <w:pStyle w:val="Piedepgina"/>
      <w:jc w:val="right"/>
      <w:rPr>
        <w:b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3B3D" w14:textId="77777777" w:rsidR="00167D9A" w:rsidRDefault="00167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26E6" w14:textId="77777777" w:rsidR="007971D5" w:rsidRDefault="007971D5" w:rsidP="00EF428A">
      <w:r>
        <w:separator/>
      </w:r>
    </w:p>
  </w:footnote>
  <w:footnote w:type="continuationSeparator" w:id="0">
    <w:p w14:paraId="6646BE16" w14:textId="77777777" w:rsidR="007971D5" w:rsidRDefault="007971D5" w:rsidP="00EF428A">
      <w:r>
        <w:continuationSeparator/>
      </w:r>
    </w:p>
  </w:footnote>
  <w:footnote w:type="continuationNotice" w:id="1">
    <w:p w14:paraId="22A67608" w14:textId="77777777" w:rsidR="007971D5" w:rsidRDefault="007971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D24C" w14:textId="77777777" w:rsidR="00167D9A" w:rsidRDefault="00167D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2A19" w14:textId="77777777" w:rsidR="00246076" w:rsidRPr="00CE5D2D" w:rsidRDefault="006924A6" w:rsidP="006C758A">
    <w:pPr>
      <w:pStyle w:val="Encabezado"/>
      <w:jc w:val="right"/>
    </w:pPr>
    <w:r w:rsidRPr="006C020A">
      <w:rPr>
        <w:rFonts w:ascii="Scotia" w:hAnsi="Scotia"/>
        <w:noProof/>
        <w:color w:val="404040" w:themeColor="text1" w:themeTint="BF"/>
        <w:lang w:val="es-CO" w:eastAsia="es-CO"/>
      </w:rPr>
      <w:drawing>
        <wp:anchor distT="0" distB="0" distL="114300" distR="114300" simplePos="0" relativeHeight="251659264" behindDoc="0" locked="1" layoutInCell="1" allowOverlap="1" wp14:anchorId="3AC0A925" wp14:editId="4E002129">
          <wp:simplePos x="0" y="0"/>
          <wp:positionH relativeFrom="column">
            <wp:posOffset>-358140</wp:posOffset>
          </wp:positionH>
          <wp:positionV relativeFrom="page">
            <wp:posOffset>6547485</wp:posOffset>
          </wp:positionV>
          <wp:extent cx="100330" cy="1383030"/>
          <wp:effectExtent l="0" t="0" r="0" b="7620"/>
          <wp:wrapNone/>
          <wp:docPr id="112" name="Imagen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52"/>
                  <a:stretch/>
                </pic:blipFill>
                <pic:spPr bwMode="auto">
                  <a:xfrm>
                    <a:off x="0" y="0"/>
                    <a:ext cx="10033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58A">
      <w:rPr>
        <w:noProof/>
        <w:lang w:val="es-CO" w:eastAsia="es-CO"/>
      </w:rPr>
      <w:drawing>
        <wp:inline distT="0" distB="0" distL="0" distR="0" wp14:anchorId="2AB2CC32" wp14:editId="28506B50">
          <wp:extent cx="2705100" cy="358775"/>
          <wp:effectExtent l="0" t="0" r="0" b="0"/>
          <wp:docPr id="12" name="Imagen 12" descr="C:\Users\morenogn\AppData\Local\Microsoft\Windows\INetCache\Content.Word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enogn\AppData\Local\Microsoft\Windows\INetCache\Content.Word\0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39819" r="11588" b="38242"/>
                  <a:stretch/>
                </pic:blipFill>
                <pic:spPr bwMode="auto">
                  <a:xfrm>
                    <a:off x="0" y="0"/>
                    <a:ext cx="27051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B046" w14:textId="77777777" w:rsidR="00167D9A" w:rsidRDefault="00167D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D4D"/>
    <w:multiLevelType w:val="hybridMultilevel"/>
    <w:tmpl w:val="94AE5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388"/>
    <w:multiLevelType w:val="hybridMultilevel"/>
    <w:tmpl w:val="E5629E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DF0"/>
    <w:multiLevelType w:val="hybridMultilevel"/>
    <w:tmpl w:val="AB86D684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3D197E"/>
    <w:multiLevelType w:val="hybridMultilevel"/>
    <w:tmpl w:val="5C5CC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B6073"/>
    <w:multiLevelType w:val="hybridMultilevel"/>
    <w:tmpl w:val="B300A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343D"/>
    <w:multiLevelType w:val="hybridMultilevel"/>
    <w:tmpl w:val="EF1CBD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5558A"/>
    <w:multiLevelType w:val="hybridMultilevel"/>
    <w:tmpl w:val="BD1C6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70CE7"/>
    <w:multiLevelType w:val="hybridMultilevel"/>
    <w:tmpl w:val="721E74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0003"/>
    <w:multiLevelType w:val="hybridMultilevel"/>
    <w:tmpl w:val="4170D65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6C788B"/>
    <w:multiLevelType w:val="hybridMultilevel"/>
    <w:tmpl w:val="977AB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A61D6"/>
    <w:multiLevelType w:val="hybridMultilevel"/>
    <w:tmpl w:val="4E8E37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85727"/>
    <w:multiLevelType w:val="hybridMultilevel"/>
    <w:tmpl w:val="79448E56"/>
    <w:lvl w:ilvl="0" w:tplc="08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641B3986"/>
    <w:multiLevelType w:val="hybridMultilevel"/>
    <w:tmpl w:val="36D27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575F2"/>
    <w:multiLevelType w:val="hybridMultilevel"/>
    <w:tmpl w:val="AFEA5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765"/>
    <w:multiLevelType w:val="hybridMultilevel"/>
    <w:tmpl w:val="5010E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C3E83"/>
    <w:multiLevelType w:val="hybridMultilevel"/>
    <w:tmpl w:val="E62E0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00D5B"/>
    <w:multiLevelType w:val="hybridMultilevel"/>
    <w:tmpl w:val="251C1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11879"/>
    <w:multiLevelType w:val="hybridMultilevel"/>
    <w:tmpl w:val="41805D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6248E"/>
    <w:multiLevelType w:val="hybridMultilevel"/>
    <w:tmpl w:val="21AC06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17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1"/>
  </w:num>
  <w:num w:numId="15">
    <w:abstractNumId w:val="11"/>
  </w:num>
  <w:num w:numId="16">
    <w:abstractNumId w:val="16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8A"/>
    <w:rsid w:val="00000753"/>
    <w:rsid w:val="0000184A"/>
    <w:rsid w:val="00011FF8"/>
    <w:rsid w:val="000125D3"/>
    <w:rsid w:val="0001758F"/>
    <w:rsid w:val="000234FC"/>
    <w:rsid w:val="00024E28"/>
    <w:rsid w:val="00030CD6"/>
    <w:rsid w:val="00036E20"/>
    <w:rsid w:val="00040C9C"/>
    <w:rsid w:val="00044C5C"/>
    <w:rsid w:val="00050A6A"/>
    <w:rsid w:val="00063007"/>
    <w:rsid w:val="00071440"/>
    <w:rsid w:val="00071F00"/>
    <w:rsid w:val="00074BEF"/>
    <w:rsid w:val="00086799"/>
    <w:rsid w:val="000A280A"/>
    <w:rsid w:val="000A4776"/>
    <w:rsid w:val="000A4DA1"/>
    <w:rsid w:val="000A76CC"/>
    <w:rsid w:val="000E4755"/>
    <w:rsid w:val="00101078"/>
    <w:rsid w:val="00111176"/>
    <w:rsid w:val="00113FA8"/>
    <w:rsid w:val="001157A1"/>
    <w:rsid w:val="00117217"/>
    <w:rsid w:val="00120233"/>
    <w:rsid w:val="00125D55"/>
    <w:rsid w:val="00135826"/>
    <w:rsid w:val="00141381"/>
    <w:rsid w:val="0014572A"/>
    <w:rsid w:val="00147B6A"/>
    <w:rsid w:val="00167D9A"/>
    <w:rsid w:val="00174BAE"/>
    <w:rsid w:val="0017763C"/>
    <w:rsid w:val="00182E26"/>
    <w:rsid w:val="00186C0A"/>
    <w:rsid w:val="00192C97"/>
    <w:rsid w:val="00193772"/>
    <w:rsid w:val="001A031E"/>
    <w:rsid w:val="001A1886"/>
    <w:rsid w:val="001A49FD"/>
    <w:rsid w:val="001A5B65"/>
    <w:rsid w:val="001B0ED3"/>
    <w:rsid w:val="001B692F"/>
    <w:rsid w:val="001C2F03"/>
    <w:rsid w:val="001D30A5"/>
    <w:rsid w:val="001E1313"/>
    <w:rsid w:val="001F551C"/>
    <w:rsid w:val="00200B99"/>
    <w:rsid w:val="0021511E"/>
    <w:rsid w:val="002154BA"/>
    <w:rsid w:val="00227F8A"/>
    <w:rsid w:val="00234453"/>
    <w:rsid w:val="00242311"/>
    <w:rsid w:val="00242462"/>
    <w:rsid w:val="00246076"/>
    <w:rsid w:val="00246328"/>
    <w:rsid w:val="00251064"/>
    <w:rsid w:val="002567E9"/>
    <w:rsid w:val="002601BE"/>
    <w:rsid w:val="00260E87"/>
    <w:rsid w:val="00262E4C"/>
    <w:rsid w:val="002676A8"/>
    <w:rsid w:val="00267778"/>
    <w:rsid w:val="00272A93"/>
    <w:rsid w:val="002823F8"/>
    <w:rsid w:val="00285E87"/>
    <w:rsid w:val="00290160"/>
    <w:rsid w:val="002A403E"/>
    <w:rsid w:val="002A550D"/>
    <w:rsid w:val="002B0A95"/>
    <w:rsid w:val="002B394A"/>
    <w:rsid w:val="002C4ADF"/>
    <w:rsid w:val="002C56A9"/>
    <w:rsid w:val="002D3457"/>
    <w:rsid w:val="002D5D83"/>
    <w:rsid w:val="002E5941"/>
    <w:rsid w:val="002E7937"/>
    <w:rsid w:val="002F01D7"/>
    <w:rsid w:val="002F25D6"/>
    <w:rsid w:val="002F4E12"/>
    <w:rsid w:val="002F5788"/>
    <w:rsid w:val="002F5EB0"/>
    <w:rsid w:val="0030122B"/>
    <w:rsid w:val="0030297E"/>
    <w:rsid w:val="00321A13"/>
    <w:rsid w:val="003276BF"/>
    <w:rsid w:val="00337FAE"/>
    <w:rsid w:val="00346C53"/>
    <w:rsid w:val="0035005F"/>
    <w:rsid w:val="00354330"/>
    <w:rsid w:val="003558A6"/>
    <w:rsid w:val="003576F7"/>
    <w:rsid w:val="003606B5"/>
    <w:rsid w:val="00363C8D"/>
    <w:rsid w:val="0036633B"/>
    <w:rsid w:val="00366441"/>
    <w:rsid w:val="00367EAC"/>
    <w:rsid w:val="00370918"/>
    <w:rsid w:val="00370C6A"/>
    <w:rsid w:val="003777DE"/>
    <w:rsid w:val="00380AFB"/>
    <w:rsid w:val="00391F0A"/>
    <w:rsid w:val="0039318D"/>
    <w:rsid w:val="003B181B"/>
    <w:rsid w:val="003B79A0"/>
    <w:rsid w:val="003C0A3E"/>
    <w:rsid w:val="003C21D2"/>
    <w:rsid w:val="003D0AC9"/>
    <w:rsid w:val="003D7674"/>
    <w:rsid w:val="003E6D0D"/>
    <w:rsid w:val="003F1A1A"/>
    <w:rsid w:val="0041615B"/>
    <w:rsid w:val="0042022F"/>
    <w:rsid w:val="004306C1"/>
    <w:rsid w:val="004317A2"/>
    <w:rsid w:val="0044056E"/>
    <w:rsid w:val="00445BA1"/>
    <w:rsid w:val="00452B4B"/>
    <w:rsid w:val="00456000"/>
    <w:rsid w:val="00463D51"/>
    <w:rsid w:val="00465B37"/>
    <w:rsid w:val="004768AF"/>
    <w:rsid w:val="00483B9B"/>
    <w:rsid w:val="00484550"/>
    <w:rsid w:val="004A0735"/>
    <w:rsid w:val="004A346F"/>
    <w:rsid w:val="004A523E"/>
    <w:rsid w:val="004C40A9"/>
    <w:rsid w:val="004D0EC3"/>
    <w:rsid w:val="004D40D0"/>
    <w:rsid w:val="004E26E5"/>
    <w:rsid w:val="004E45A7"/>
    <w:rsid w:val="004E733D"/>
    <w:rsid w:val="00500B87"/>
    <w:rsid w:val="0050408F"/>
    <w:rsid w:val="0051168C"/>
    <w:rsid w:val="00512858"/>
    <w:rsid w:val="00513ABF"/>
    <w:rsid w:val="005259E9"/>
    <w:rsid w:val="00526CA6"/>
    <w:rsid w:val="00536468"/>
    <w:rsid w:val="00550900"/>
    <w:rsid w:val="00550A01"/>
    <w:rsid w:val="0055476E"/>
    <w:rsid w:val="00561E90"/>
    <w:rsid w:val="00563110"/>
    <w:rsid w:val="00565072"/>
    <w:rsid w:val="005727BC"/>
    <w:rsid w:val="00586157"/>
    <w:rsid w:val="00587D75"/>
    <w:rsid w:val="00592F25"/>
    <w:rsid w:val="005A45DF"/>
    <w:rsid w:val="005B101B"/>
    <w:rsid w:val="005B163B"/>
    <w:rsid w:val="005B420C"/>
    <w:rsid w:val="005C4261"/>
    <w:rsid w:val="005C5D83"/>
    <w:rsid w:val="005D1736"/>
    <w:rsid w:val="005D1BBF"/>
    <w:rsid w:val="005E4BEC"/>
    <w:rsid w:val="005F1F9D"/>
    <w:rsid w:val="005F2194"/>
    <w:rsid w:val="005F4542"/>
    <w:rsid w:val="0060069B"/>
    <w:rsid w:val="00602258"/>
    <w:rsid w:val="00615F7D"/>
    <w:rsid w:val="00616044"/>
    <w:rsid w:val="0061738B"/>
    <w:rsid w:val="00621C90"/>
    <w:rsid w:val="00647399"/>
    <w:rsid w:val="00651C5A"/>
    <w:rsid w:val="00660560"/>
    <w:rsid w:val="00661A11"/>
    <w:rsid w:val="006626BE"/>
    <w:rsid w:val="0066580F"/>
    <w:rsid w:val="00671C32"/>
    <w:rsid w:val="00684311"/>
    <w:rsid w:val="006924A6"/>
    <w:rsid w:val="00693FD9"/>
    <w:rsid w:val="00697F88"/>
    <w:rsid w:val="006A03AD"/>
    <w:rsid w:val="006A1116"/>
    <w:rsid w:val="006B510F"/>
    <w:rsid w:val="006C758A"/>
    <w:rsid w:val="006C7776"/>
    <w:rsid w:val="006D3484"/>
    <w:rsid w:val="006D4E54"/>
    <w:rsid w:val="006E232D"/>
    <w:rsid w:val="006E276B"/>
    <w:rsid w:val="00700E68"/>
    <w:rsid w:val="0070200E"/>
    <w:rsid w:val="007066CD"/>
    <w:rsid w:val="007165EE"/>
    <w:rsid w:val="0072481C"/>
    <w:rsid w:val="00743DD4"/>
    <w:rsid w:val="00744F64"/>
    <w:rsid w:val="0074523C"/>
    <w:rsid w:val="00753AEC"/>
    <w:rsid w:val="007705D4"/>
    <w:rsid w:val="00784925"/>
    <w:rsid w:val="00787DD1"/>
    <w:rsid w:val="007906EC"/>
    <w:rsid w:val="00792A11"/>
    <w:rsid w:val="007962B0"/>
    <w:rsid w:val="007971D5"/>
    <w:rsid w:val="007C53CE"/>
    <w:rsid w:val="007C5D91"/>
    <w:rsid w:val="007D2B91"/>
    <w:rsid w:val="007E301E"/>
    <w:rsid w:val="007F3765"/>
    <w:rsid w:val="007F416C"/>
    <w:rsid w:val="007F5AFE"/>
    <w:rsid w:val="007F6768"/>
    <w:rsid w:val="00807F05"/>
    <w:rsid w:val="0081268E"/>
    <w:rsid w:val="00826FDB"/>
    <w:rsid w:val="00827E9F"/>
    <w:rsid w:val="008341B6"/>
    <w:rsid w:val="00840BE8"/>
    <w:rsid w:val="00855C38"/>
    <w:rsid w:val="00860931"/>
    <w:rsid w:val="00865AE8"/>
    <w:rsid w:val="00884316"/>
    <w:rsid w:val="008A5137"/>
    <w:rsid w:val="008A5C6C"/>
    <w:rsid w:val="008A7B14"/>
    <w:rsid w:val="008D01AA"/>
    <w:rsid w:val="008E38E3"/>
    <w:rsid w:val="008F482D"/>
    <w:rsid w:val="008F5F21"/>
    <w:rsid w:val="00907EFB"/>
    <w:rsid w:val="0091367C"/>
    <w:rsid w:val="00931E97"/>
    <w:rsid w:val="00933F32"/>
    <w:rsid w:val="00934360"/>
    <w:rsid w:val="00936BCD"/>
    <w:rsid w:val="00945454"/>
    <w:rsid w:val="009470C6"/>
    <w:rsid w:val="00976F9F"/>
    <w:rsid w:val="00990C31"/>
    <w:rsid w:val="00990F47"/>
    <w:rsid w:val="00993235"/>
    <w:rsid w:val="00993822"/>
    <w:rsid w:val="00996DBB"/>
    <w:rsid w:val="009979A1"/>
    <w:rsid w:val="009A12D2"/>
    <w:rsid w:val="009A1940"/>
    <w:rsid w:val="009B2113"/>
    <w:rsid w:val="009C2180"/>
    <w:rsid w:val="009C4BF6"/>
    <w:rsid w:val="009C5E37"/>
    <w:rsid w:val="009D2A03"/>
    <w:rsid w:val="009D3FAF"/>
    <w:rsid w:val="009E4CE1"/>
    <w:rsid w:val="009E7358"/>
    <w:rsid w:val="009E776A"/>
    <w:rsid w:val="00A00BBF"/>
    <w:rsid w:val="00A1177D"/>
    <w:rsid w:val="00A21CFB"/>
    <w:rsid w:val="00A22FE6"/>
    <w:rsid w:val="00A25954"/>
    <w:rsid w:val="00A34BD9"/>
    <w:rsid w:val="00A456D3"/>
    <w:rsid w:val="00A458AB"/>
    <w:rsid w:val="00A46C6F"/>
    <w:rsid w:val="00A50BC5"/>
    <w:rsid w:val="00A56C44"/>
    <w:rsid w:val="00A64359"/>
    <w:rsid w:val="00A74D7A"/>
    <w:rsid w:val="00A8083C"/>
    <w:rsid w:val="00A92B71"/>
    <w:rsid w:val="00A92E96"/>
    <w:rsid w:val="00AA444F"/>
    <w:rsid w:val="00AA7164"/>
    <w:rsid w:val="00AB3782"/>
    <w:rsid w:val="00AB44F9"/>
    <w:rsid w:val="00AC5DB6"/>
    <w:rsid w:val="00AC6149"/>
    <w:rsid w:val="00AF3CD1"/>
    <w:rsid w:val="00AF4AC9"/>
    <w:rsid w:val="00B00A07"/>
    <w:rsid w:val="00B0236D"/>
    <w:rsid w:val="00B077FC"/>
    <w:rsid w:val="00B14A1C"/>
    <w:rsid w:val="00B22003"/>
    <w:rsid w:val="00B275C7"/>
    <w:rsid w:val="00B36003"/>
    <w:rsid w:val="00B52801"/>
    <w:rsid w:val="00B536B0"/>
    <w:rsid w:val="00B63AA9"/>
    <w:rsid w:val="00B737FB"/>
    <w:rsid w:val="00B811F4"/>
    <w:rsid w:val="00B84BA6"/>
    <w:rsid w:val="00B852A0"/>
    <w:rsid w:val="00B85DD6"/>
    <w:rsid w:val="00B9261C"/>
    <w:rsid w:val="00B933F6"/>
    <w:rsid w:val="00BA3789"/>
    <w:rsid w:val="00BA3BEE"/>
    <w:rsid w:val="00BA421C"/>
    <w:rsid w:val="00BA76D9"/>
    <w:rsid w:val="00BD48C9"/>
    <w:rsid w:val="00BD5F90"/>
    <w:rsid w:val="00BD77BB"/>
    <w:rsid w:val="00BD7B16"/>
    <w:rsid w:val="00BE13DD"/>
    <w:rsid w:val="00BE3D94"/>
    <w:rsid w:val="00BE5E2A"/>
    <w:rsid w:val="00BF2455"/>
    <w:rsid w:val="00BF48E0"/>
    <w:rsid w:val="00C01641"/>
    <w:rsid w:val="00C1017E"/>
    <w:rsid w:val="00C135DC"/>
    <w:rsid w:val="00C20BA8"/>
    <w:rsid w:val="00C215DB"/>
    <w:rsid w:val="00C25516"/>
    <w:rsid w:val="00C26B98"/>
    <w:rsid w:val="00C32AD7"/>
    <w:rsid w:val="00C41633"/>
    <w:rsid w:val="00C42A78"/>
    <w:rsid w:val="00C441DF"/>
    <w:rsid w:val="00C50C3E"/>
    <w:rsid w:val="00C57703"/>
    <w:rsid w:val="00C62C6F"/>
    <w:rsid w:val="00C6557B"/>
    <w:rsid w:val="00C66B49"/>
    <w:rsid w:val="00C73770"/>
    <w:rsid w:val="00C76567"/>
    <w:rsid w:val="00CA1866"/>
    <w:rsid w:val="00CB3676"/>
    <w:rsid w:val="00CB53F3"/>
    <w:rsid w:val="00CC1545"/>
    <w:rsid w:val="00CD1DEC"/>
    <w:rsid w:val="00CD3B37"/>
    <w:rsid w:val="00CD4F0B"/>
    <w:rsid w:val="00CE1629"/>
    <w:rsid w:val="00CE5A79"/>
    <w:rsid w:val="00CE5D2D"/>
    <w:rsid w:val="00CE76D6"/>
    <w:rsid w:val="00CE7A43"/>
    <w:rsid w:val="00CF4AC1"/>
    <w:rsid w:val="00CF700B"/>
    <w:rsid w:val="00D10E75"/>
    <w:rsid w:val="00D1391A"/>
    <w:rsid w:val="00D17F52"/>
    <w:rsid w:val="00D21E34"/>
    <w:rsid w:val="00D2746E"/>
    <w:rsid w:val="00D30571"/>
    <w:rsid w:val="00D42FC8"/>
    <w:rsid w:val="00D50D2A"/>
    <w:rsid w:val="00D65543"/>
    <w:rsid w:val="00D72321"/>
    <w:rsid w:val="00D7624C"/>
    <w:rsid w:val="00D86F73"/>
    <w:rsid w:val="00D97930"/>
    <w:rsid w:val="00DA3672"/>
    <w:rsid w:val="00DC6162"/>
    <w:rsid w:val="00DC6276"/>
    <w:rsid w:val="00DC64CC"/>
    <w:rsid w:val="00DF16EE"/>
    <w:rsid w:val="00DF6E70"/>
    <w:rsid w:val="00E0192E"/>
    <w:rsid w:val="00E026B2"/>
    <w:rsid w:val="00E043E1"/>
    <w:rsid w:val="00E12E52"/>
    <w:rsid w:val="00E42E22"/>
    <w:rsid w:val="00E42EB3"/>
    <w:rsid w:val="00E44EE4"/>
    <w:rsid w:val="00E46FD5"/>
    <w:rsid w:val="00E535E6"/>
    <w:rsid w:val="00E679BD"/>
    <w:rsid w:val="00E864FC"/>
    <w:rsid w:val="00E9558E"/>
    <w:rsid w:val="00EA76DB"/>
    <w:rsid w:val="00EB2E5A"/>
    <w:rsid w:val="00EC49AC"/>
    <w:rsid w:val="00EF3524"/>
    <w:rsid w:val="00EF428A"/>
    <w:rsid w:val="00EF56C8"/>
    <w:rsid w:val="00F153A1"/>
    <w:rsid w:val="00F15A97"/>
    <w:rsid w:val="00F233EB"/>
    <w:rsid w:val="00F32D2F"/>
    <w:rsid w:val="00F3317F"/>
    <w:rsid w:val="00F43DC3"/>
    <w:rsid w:val="00F6064C"/>
    <w:rsid w:val="00F770B2"/>
    <w:rsid w:val="00F77289"/>
    <w:rsid w:val="00F773E3"/>
    <w:rsid w:val="00F86F50"/>
    <w:rsid w:val="00F92143"/>
    <w:rsid w:val="00F926A6"/>
    <w:rsid w:val="00FA3933"/>
    <w:rsid w:val="00FA54AE"/>
    <w:rsid w:val="00FA5C29"/>
    <w:rsid w:val="00FB2623"/>
    <w:rsid w:val="00FB39F2"/>
    <w:rsid w:val="00FC1AB4"/>
    <w:rsid w:val="00FC3935"/>
    <w:rsid w:val="00FC4AF0"/>
    <w:rsid w:val="00FC543E"/>
    <w:rsid w:val="00FD060E"/>
    <w:rsid w:val="00FD4A9B"/>
    <w:rsid w:val="00FD66F1"/>
    <w:rsid w:val="00FD7901"/>
    <w:rsid w:val="00FD7B8E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87D90"/>
  <w15:chartTrackingRefBased/>
  <w15:docId w15:val="{04FE3767-4790-4EA5-AB6D-FD3F6441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D5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9C2180"/>
    <w:pPr>
      <w:keepNext/>
      <w:outlineLvl w:val="1"/>
    </w:pPr>
    <w:rPr>
      <w:rFonts w:ascii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2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28A"/>
  </w:style>
  <w:style w:type="paragraph" w:styleId="Piedepgina">
    <w:name w:val="footer"/>
    <w:basedOn w:val="Normal"/>
    <w:link w:val="PiedepginaCar"/>
    <w:uiPriority w:val="99"/>
    <w:unhideWhenUsed/>
    <w:rsid w:val="00EF42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28A"/>
  </w:style>
  <w:style w:type="paragraph" w:styleId="Textoindependiente">
    <w:name w:val="Body Text"/>
    <w:basedOn w:val="Normal"/>
    <w:link w:val="TextoindependienteCar"/>
    <w:uiPriority w:val="1"/>
    <w:qFormat/>
    <w:rsid w:val="003F1A1A"/>
    <w:pPr>
      <w:widowControl w:val="0"/>
      <w:autoSpaceDE w:val="0"/>
      <w:autoSpaceDN w:val="0"/>
    </w:pPr>
    <w:rPr>
      <w:rFonts w:ascii="Calibri" w:eastAsia="Calibri" w:hAnsi="Calibri" w:cs="Calibri"/>
      <w:sz w:val="40"/>
      <w:szCs w:val="4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A1A"/>
    <w:rPr>
      <w:rFonts w:ascii="Calibri" w:eastAsia="Calibri" w:hAnsi="Calibri" w:cs="Calibri"/>
      <w:sz w:val="40"/>
      <w:szCs w:val="40"/>
      <w:lang w:val="es-ES" w:eastAsia="es-ES" w:bidi="es-ES"/>
    </w:rPr>
  </w:style>
  <w:style w:type="paragraph" w:customStyle="1" w:styleId="Textopredeterminado">
    <w:name w:val="Texto predeterminado"/>
    <w:basedOn w:val="Normal"/>
    <w:rsid w:val="006E232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C5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3CE"/>
    <w:pPr>
      <w:spacing w:after="200"/>
    </w:pPr>
    <w:rPr>
      <w:rFonts w:ascii="Calibri" w:eastAsia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3C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3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E96"/>
    <w:pPr>
      <w:ind w:left="720"/>
      <w:contextualSpacing/>
    </w:pPr>
    <w:rPr>
      <w:rFonts w:ascii="Times New Roman" w:hAnsi="Times New Roman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F5E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F5EB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B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B0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773E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73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73E3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9C218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557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476E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5476E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customStyle="1" w:styleId="topfootercolumn-text">
    <w:name w:val="topfooter__column-text"/>
    <w:basedOn w:val="Fuentedeprrafopredeter"/>
    <w:rsid w:val="00931E97"/>
  </w:style>
  <w:style w:type="character" w:styleId="Mencinsinresolver">
    <w:name w:val="Unresolved Mention"/>
    <w:basedOn w:val="Fuentedeprrafopredeter"/>
    <w:uiPriority w:val="99"/>
    <w:semiHidden/>
    <w:unhideWhenUsed/>
    <w:rsid w:val="00167D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0AC9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otiabankcolpatri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tiabankcolpatria.com/personas/hipotecari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iabankcolpatria.com/sala-de-pren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EE4C11B812245B3A5F8E984BE1E7F" ma:contentTypeVersion="0" ma:contentTypeDescription="Crear nuevo documento." ma:contentTypeScope="" ma:versionID="f59f2d39bb03c494b6dbc36d01c057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1A85-9A0B-4988-BEBC-1466F1ADB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8C4A6-70E3-43F4-96B7-91C25C87B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13617-B6A7-432D-B22F-4911F78D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A7A8F1-5607-4DD4-9812-EA28E0A8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Rodolfo</dc:creator>
  <cp:keywords/>
  <dc:description/>
  <cp:lastModifiedBy>Hurtado Romero, Camilo</cp:lastModifiedBy>
  <cp:revision>2</cp:revision>
  <cp:lastPrinted>2020-03-16T19:35:00Z</cp:lastPrinted>
  <dcterms:created xsi:type="dcterms:W3CDTF">2021-05-24T13:20:00Z</dcterms:created>
  <dcterms:modified xsi:type="dcterms:W3CDTF">2021-05-24T13:20:00Z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0x010100B29EE4C11B812245B3A5F8E984BE1E7F</vt:lpwstr>
  </property>
</Properties>
</file>