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C90E" w14:textId="5F985F4B" w:rsidR="000D6E5F" w:rsidRPr="00070D0D" w:rsidRDefault="000D6E5F" w:rsidP="000D6E5F">
      <w:pPr>
        <w:ind w:left="720" w:hanging="36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070D0D">
        <w:rPr>
          <w:rFonts w:ascii="Georgia" w:hAnsi="Georgia"/>
          <w:b/>
          <w:bCs/>
          <w:sz w:val="24"/>
          <w:szCs w:val="24"/>
          <w:u w:val="single"/>
        </w:rPr>
        <w:t>Esquema de presentación rueda de prensa.</w:t>
      </w:r>
    </w:p>
    <w:p w14:paraId="20577CB4" w14:textId="50644320" w:rsidR="000023E1" w:rsidRPr="00070D0D" w:rsidRDefault="000023E1" w:rsidP="007B1444">
      <w:pPr>
        <w:pStyle w:val="Prrafodelista"/>
        <w:numPr>
          <w:ilvl w:val="0"/>
          <w:numId w:val="3"/>
        </w:numPr>
        <w:rPr>
          <w:rFonts w:ascii="Georgia" w:hAnsi="Georgia" w:cs="Times New Roman"/>
          <w:b/>
          <w:bCs/>
          <w:sz w:val="24"/>
          <w:szCs w:val="24"/>
        </w:rPr>
      </w:pPr>
      <w:r w:rsidRPr="00070D0D">
        <w:rPr>
          <w:rFonts w:ascii="Georgia" w:hAnsi="Georgia" w:cs="Times New Roman"/>
          <w:b/>
          <w:bCs/>
          <w:sz w:val="24"/>
          <w:szCs w:val="24"/>
        </w:rPr>
        <w:t xml:space="preserve">El gerente de EPM, Manuel Alejandro Calderón </w:t>
      </w:r>
      <w:proofErr w:type="spellStart"/>
      <w:r w:rsidRPr="00070D0D">
        <w:rPr>
          <w:rFonts w:ascii="Georgia" w:hAnsi="Georgia" w:cs="Times New Roman"/>
          <w:b/>
          <w:bCs/>
          <w:sz w:val="24"/>
          <w:szCs w:val="24"/>
        </w:rPr>
        <w:t>Chatet</w:t>
      </w:r>
      <w:proofErr w:type="spellEnd"/>
      <w:r w:rsidRPr="00070D0D">
        <w:rPr>
          <w:rFonts w:ascii="Georgia" w:hAnsi="Georgia" w:cs="Times New Roman"/>
          <w:b/>
          <w:bCs/>
          <w:sz w:val="24"/>
          <w:szCs w:val="24"/>
        </w:rPr>
        <w:t xml:space="preserve"> está relacionado con firmas off shore en paraísos fiscales.</w:t>
      </w:r>
    </w:p>
    <w:tbl>
      <w:tblPr>
        <w:tblStyle w:val="TableGrid"/>
        <w:tblW w:w="9020" w:type="dxa"/>
        <w:tblInd w:w="0" w:type="dxa"/>
        <w:tblCellMar>
          <w:top w:w="99" w:type="dxa"/>
          <w:left w:w="9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622"/>
        <w:gridCol w:w="3827"/>
        <w:gridCol w:w="1320"/>
        <w:gridCol w:w="1004"/>
        <w:gridCol w:w="1247"/>
      </w:tblGrid>
      <w:tr w:rsidR="000023E1" w:rsidRPr="00070D0D" w14:paraId="3D5D426C" w14:textId="77777777" w:rsidTr="007B1444">
        <w:trPr>
          <w:trHeight w:val="38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AA41" w14:textId="77777777" w:rsidR="000023E1" w:rsidRPr="00070D0D" w:rsidRDefault="000023E1" w:rsidP="00992C6A">
            <w:pPr>
              <w:ind w:right="15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b/>
                <w:sz w:val="24"/>
                <w:szCs w:val="24"/>
              </w:rPr>
              <w:t>Fecha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4752" w14:textId="77777777" w:rsidR="000023E1" w:rsidRPr="00070D0D" w:rsidRDefault="000023E1" w:rsidP="00992C6A">
            <w:pPr>
              <w:ind w:right="15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b/>
                <w:sz w:val="24"/>
                <w:szCs w:val="24"/>
              </w:rPr>
              <w:t>Empresa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36A" w14:textId="0FE66637" w:rsidR="000023E1" w:rsidRPr="00070D0D" w:rsidRDefault="000023E1" w:rsidP="00992C6A">
            <w:pPr>
              <w:ind w:right="15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b/>
                <w:sz w:val="24"/>
                <w:szCs w:val="24"/>
              </w:rPr>
              <w:t>Cargo</w:t>
            </w:r>
            <w:r w:rsidR="000D6E5F" w:rsidRPr="00070D0D">
              <w:rPr>
                <w:rFonts w:ascii="Georgia" w:eastAsia="Arial" w:hAnsi="Georgia" w:cs="Arial"/>
                <w:b/>
                <w:sz w:val="24"/>
                <w:szCs w:val="24"/>
              </w:rPr>
              <w:t>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C9CB" w14:textId="10A99F5F" w:rsidR="000023E1" w:rsidRPr="00070D0D" w:rsidRDefault="000023E1" w:rsidP="00992C6A">
            <w:pPr>
              <w:ind w:left="71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b/>
                <w:sz w:val="24"/>
                <w:szCs w:val="24"/>
              </w:rPr>
              <w:t xml:space="preserve">Ficha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3F12" w14:textId="67307664" w:rsidR="000023E1" w:rsidRPr="00070D0D" w:rsidRDefault="007B1444" w:rsidP="00992C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b/>
                <w:sz w:val="24"/>
                <w:szCs w:val="24"/>
              </w:rPr>
              <w:t>RUC</w:t>
            </w:r>
          </w:p>
        </w:tc>
      </w:tr>
      <w:tr w:rsidR="000023E1" w:rsidRPr="00070D0D" w14:paraId="1655C563" w14:textId="77777777" w:rsidTr="007B1444">
        <w:trPr>
          <w:trHeight w:val="5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FB82" w14:textId="77777777" w:rsidR="000023E1" w:rsidRPr="00070D0D" w:rsidRDefault="000023E1" w:rsidP="00992C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30-mar2011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6D6" w14:textId="4BF99E54" w:rsidR="000023E1" w:rsidRPr="00070D0D" w:rsidRDefault="000023E1" w:rsidP="007B1444">
            <w:pPr>
              <w:ind w:left="86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PEGASUS GLOBAL MINING</w:t>
            </w:r>
            <w:r w:rsidR="007B1444" w:rsidRPr="00070D0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70D0D">
              <w:rPr>
                <w:rFonts w:ascii="Georgia" w:eastAsia="Arial" w:hAnsi="Georgia" w:cs="Arial"/>
                <w:sz w:val="24"/>
                <w:szCs w:val="24"/>
              </w:rPr>
              <w:t>S.A.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3A5" w14:textId="6D3EFA96" w:rsidR="000023E1" w:rsidRPr="00070D0D" w:rsidRDefault="000023E1" w:rsidP="00992C6A">
            <w:pPr>
              <w:ind w:right="15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Secretario</w:t>
            </w:r>
            <w:r w:rsidRPr="00070D0D">
              <w:rPr>
                <w:rFonts w:ascii="Georgia" w:eastAsia="Arial" w:hAnsi="Georgia" w:cs="Arial"/>
                <w:sz w:val="24"/>
                <w:szCs w:val="24"/>
              </w:rPr>
              <w:t xml:space="preserve"> y director</w:t>
            </w:r>
          </w:p>
          <w:p w14:paraId="6FE87DF0" w14:textId="255F38B7" w:rsidR="000023E1" w:rsidRPr="00070D0D" w:rsidRDefault="000023E1" w:rsidP="000023E1">
            <w:pPr>
              <w:ind w:right="15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C32" w14:textId="408C47A9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731303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552" w14:textId="58A5C9EE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1948014-1-731303</w:t>
            </w:r>
          </w:p>
        </w:tc>
      </w:tr>
      <w:tr w:rsidR="000023E1" w:rsidRPr="00070D0D" w14:paraId="68175462" w14:textId="77777777" w:rsidTr="007B1444">
        <w:trPr>
          <w:trHeight w:val="5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F90" w14:textId="77777777" w:rsidR="000023E1" w:rsidRPr="00070D0D" w:rsidRDefault="000023E1" w:rsidP="00992C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21-sep2011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E88" w14:textId="77777777" w:rsidR="000023E1" w:rsidRPr="00070D0D" w:rsidRDefault="000023E1" w:rsidP="00992C6A">
            <w:pPr>
              <w:ind w:right="15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C2 GOLD, INC.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5552" w14:textId="4FF54860" w:rsidR="000023E1" w:rsidRPr="00070D0D" w:rsidRDefault="000D6E5F" w:rsidP="00992C6A">
            <w:pPr>
              <w:ind w:right="15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 xml:space="preserve">Presidente </w:t>
            </w:r>
            <w:r w:rsidR="000023E1" w:rsidRPr="00070D0D">
              <w:rPr>
                <w:rFonts w:ascii="Georgia" w:eastAsia="Arial" w:hAnsi="Georgia" w:cs="Arial"/>
                <w:sz w:val="24"/>
                <w:szCs w:val="24"/>
              </w:rPr>
              <w:t>Suscriptor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1243" w14:textId="20F9A1FA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747913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8E9F" w14:textId="7E07351C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2050480-1-747913</w:t>
            </w:r>
          </w:p>
        </w:tc>
      </w:tr>
      <w:tr w:rsidR="000023E1" w:rsidRPr="00070D0D" w14:paraId="36724D8E" w14:textId="77777777" w:rsidTr="007B1444">
        <w:trPr>
          <w:trHeight w:val="5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1FA5" w14:textId="77777777" w:rsidR="000023E1" w:rsidRPr="00070D0D" w:rsidRDefault="000023E1" w:rsidP="00992C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21-sep2011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A4C" w14:textId="77777777" w:rsidR="000023E1" w:rsidRPr="00070D0D" w:rsidRDefault="000023E1" w:rsidP="00992C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CI IMPORT &amp; EXPORT JM, INC.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814" w14:textId="77777777" w:rsidR="000023E1" w:rsidRPr="00070D0D" w:rsidRDefault="000023E1" w:rsidP="00992C6A">
            <w:pPr>
              <w:ind w:right="15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Suscriptor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2D9E" w14:textId="69C0A336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747893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E508" w14:textId="6907A740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2050210-1-747893</w:t>
            </w:r>
          </w:p>
        </w:tc>
      </w:tr>
      <w:tr w:rsidR="000023E1" w:rsidRPr="00070D0D" w14:paraId="66C8C43C" w14:textId="77777777" w:rsidTr="007B1444">
        <w:trPr>
          <w:trHeight w:val="5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EC5" w14:textId="77777777" w:rsidR="000023E1" w:rsidRPr="00070D0D" w:rsidRDefault="000023E1" w:rsidP="00992C6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21-sep2011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1C5" w14:textId="77777777" w:rsidR="000023E1" w:rsidRPr="00070D0D" w:rsidRDefault="000023E1" w:rsidP="00992C6A">
            <w:pPr>
              <w:ind w:left="8" w:right="22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C &amp; C GLOBAL CONSULTING, INC.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37E" w14:textId="5EC45018" w:rsidR="000023E1" w:rsidRPr="00070D0D" w:rsidRDefault="000023E1" w:rsidP="00992C6A">
            <w:pPr>
              <w:ind w:right="15"/>
              <w:jc w:val="center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eastAsia="Arial" w:hAnsi="Georgia" w:cs="Arial"/>
                <w:sz w:val="24"/>
                <w:szCs w:val="24"/>
              </w:rPr>
              <w:t>Presidente</w:t>
            </w:r>
            <w:r w:rsidRPr="00070D0D">
              <w:rPr>
                <w:rFonts w:ascii="Georgia" w:eastAsia="Arial" w:hAnsi="Georgia" w:cs="Arial"/>
                <w:sz w:val="24"/>
                <w:szCs w:val="24"/>
              </w:rPr>
              <w:t xml:space="preserve"> y director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8816" w14:textId="6358E4A5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749702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A07E" w14:textId="57E768D0" w:rsidR="000023E1" w:rsidRPr="00070D0D" w:rsidRDefault="007B1444" w:rsidP="00992C6A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070D0D">
              <w:rPr>
                <w:rFonts w:ascii="Georgia" w:hAnsi="Georgia"/>
                <w:sz w:val="24"/>
                <w:szCs w:val="24"/>
              </w:rPr>
              <w:t>2060659-1-749702</w:t>
            </w:r>
          </w:p>
        </w:tc>
      </w:tr>
    </w:tbl>
    <w:p w14:paraId="4EDBD01C" w14:textId="423BD142" w:rsidR="000023E1" w:rsidRPr="00070D0D" w:rsidRDefault="000023E1">
      <w:pPr>
        <w:rPr>
          <w:rFonts w:ascii="Georgia" w:hAnsi="Georgia" w:cs="Times New Roman"/>
          <w:b/>
          <w:bCs/>
          <w:sz w:val="24"/>
          <w:szCs w:val="24"/>
        </w:rPr>
      </w:pPr>
    </w:p>
    <w:p w14:paraId="5E184F23" w14:textId="7AF8B8A5" w:rsidR="000023E1" w:rsidRPr="00070D0D" w:rsidRDefault="007B1444" w:rsidP="007B1444">
      <w:pPr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 xml:space="preserve">Los datos son contratables con el número de ficha, con el nombre o el RUC en las páginas del Registro Público de Panamá en este enlace </w:t>
      </w:r>
      <w:hyperlink r:id="rId5" w:history="1">
        <w:r w:rsidRPr="00070D0D">
          <w:rPr>
            <w:rStyle w:val="Hipervnculo"/>
            <w:rFonts w:ascii="Georgia" w:hAnsi="Georgia" w:cs="Times New Roman"/>
            <w:sz w:val="24"/>
            <w:szCs w:val="24"/>
          </w:rPr>
          <w:t>https://registro-publico.gob.pa/</w:t>
        </w:r>
      </w:hyperlink>
      <w:r w:rsidRPr="00070D0D">
        <w:rPr>
          <w:rFonts w:ascii="Georgia" w:hAnsi="Georgia" w:cs="Times New Roman"/>
          <w:sz w:val="24"/>
          <w:szCs w:val="24"/>
        </w:rPr>
        <w:t xml:space="preserve"> </w:t>
      </w:r>
    </w:p>
    <w:p w14:paraId="32D0985D" w14:textId="477CFEBD" w:rsidR="007B1444" w:rsidRPr="00070D0D" w:rsidRDefault="007B1444" w:rsidP="007B1444">
      <w:pPr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 xml:space="preserve">Además, puede consultarse que según informa el Ministerio de Economía y Finanzas de Panamá su RUC se encuentra activo. Consultar en </w:t>
      </w:r>
      <w:hyperlink r:id="rId6" w:history="1">
        <w:r w:rsidRPr="00070D0D">
          <w:rPr>
            <w:rStyle w:val="Hipervnculo"/>
            <w:rFonts w:ascii="Georgia" w:hAnsi="Georgia"/>
            <w:sz w:val="24"/>
            <w:szCs w:val="24"/>
          </w:rPr>
          <w:t>https://etax2.mef.gob.pa/etax2web/Login.aspx#</w:t>
        </w:r>
      </w:hyperlink>
      <w:r w:rsidRPr="00070D0D">
        <w:rPr>
          <w:rFonts w:ascii="Georgia" w:hAnsi="Georgia"/>
          <w:sz w:val="24"/>
          <w:szCs w:val="24"/>
        </w:rPr>
        <w:t xml:space="preserve"> </w:t>
      </w:r>
    </w:p>
    <w:p w14:paraId="0056B60D" w14:textId="6D387F4E" w:rsidR="000D6E5F" w:rsidRPr="00070D0D" w:rsidRDefault="007B1444" w:rsidP="000D6E5F">
      <w:pPr>
        <w:pStyle w:val="Prrafodelista"/>
        <w:numPr>
          <w:ilvl w:val="0"/>
          <w:numId w:val="3"/>
        </w:numPr>
        <w:rPr>
          <w:rFonts w:ascii="Georgia" w:hAnsi="Georgia" w:cs="Times New Roman"/>
          <w:b/>
          <w:bCs/>
          <w:sz w:val="24"/>
          <w:szCs w:val="24"/>
        </w:rPr>
      </w:pPr>
      <w:r w:rsidRPr="00070D0D">
        <w:rPr>
          <w:rFonts w:ascii="Georgia" w:hAnsi="Georgia" w:cs="Times New Roman"/>
          <w:b/>
          <w:bCs/>
          <w:sz w:val="24"/>
          <w:szCs w:val="24"/>
        </w:rPr>
        <w:t>Las empresas está</w:t>
      </w:r>
      <w:r w:rsidR="000D6E5F" w:rsidRPr="00070D0D">
        <w:rPr>
          <w:rFonts w:ascii="Georgia" w:hAnsi="Georgia" w:cs="Times New Roman"/>
          <w:b/>
          <w:bCs/>
          <w:sz w:val="24"/>
          <w:szCs w:val="24"/>
        </w:rPr>
        <w:t>n</w:t>
      </w:r>
      <w:r w:rsidRPr="00070D0D">
        <w:rPr>
          <w:rFonts w:ascii="Georgia" w:hAnsi="Georgia" w:cs="Times New Roman"/>
          <w:b/>
          <w:bCs/>
          <w:sz w:val="24"/>
          <w:szCs w:val="24"/>
        </w:rPr>
        <w:t xml:space="preserve"> conformadas por un tejido </w:t>
      </w:r>
      <w:r w:rsidR="000D6E5F" w:rsidRPr="00070D0D">
        <w:rPr>
          <w:rFonts w:ascii="Georgia" w:hAnsi="Georgia" w:cs="Times New Roman"/>
          <w:b/>
          <w:bCs/>
          <w:sz w:val="24"/>
          <w:szCs w:val="24"/>
        </w:rPr>
        <w:t>de socios familiares y de amistades que sólo prestaron el nombre, según podría entenderse</w:t>
      </w:r>
      <w:r w:rsidRPr="00070D0D">
        <w:rPr>
          <w:rFonts w:ascii="Georgia" w:hAnsi="Georgia" w:cs="Times New Roman"/>
          <w:b/>
          <w:bCs/>
          <w:sz w:val="24"/>
          <w:szCs w:val="24"/>
        </w:rPr>
        <w:t>:</w:t>
      </w:r>
    </w:p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450"/>
        <w:gridCol w:w="2410"/>
        <w:gridCol w:w="2551"/>
        <w:gridCol w:w="2268"/>
      </w:tblGrid>
      <w:tr w:rsidR="000D6E5F" w:rsidRPr="000D6E5F" w14:paraId="3EE4BEE2" w14:textId="77777777" w:rsidTr="000D6E5F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0A9" w14:textId="77777777" w:rsidR="000D6E5F" w:rsidRPr="000D6E5F" w:rsidRDefault="000D6E5F" w:rsidP="000D6E5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E78" w14:textId="77777777" w:rsidR="000D6E5F" w:rsidRPr="000D6E5F" w:rsidRDefault="000D6E5F" w:rsidP="000D6E5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>Pegasus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1F2" w14:textId="77777777" w:rsidR="000D6E5F" w:rsidRPr="000D6E5F" w:rsidRDefault="000D6E5F" w:rsidP="000D6E5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CI </w:t>
            </w:r>
            <w:proofErr w:type="spellStart"/>
            <w:r w:rsidRPr="000D6E5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>Export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09A" w14:textId="77777777" w:rsidR="000D6E5F" w:rsidRPr="000D6E5F" w:rsidRDefault="000D6E5F" w:rsidP="000D6E5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>C2 Gold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5B2" w14:textId="77777777" w:rsidR="000D6E5F" w:rsidRPr="000D6E5F" w:rsidRDefault="000D6E5F" w:rsidP="000D6E5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s-CO"/>
              </w:rPr>
              <w:t>C&amp;C Global</w:t>
            </w:r>
          </w:p>
        </w:tc>
      </w:tr>
      <w:tr w:rsidR="000D6E5F" w:rsidRPr="000D6E5F" w14:paraId="223C10D5" w14:textId="77777777" w:rsidTr="000D6E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A942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BEA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Mario Enrique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Bolivar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Camacho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21C7246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Jorge Mayorga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5858C16B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6001057A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</w:tr>
      <w:tr w:rsidR="000D6E5F" w:rsidRPr="000D6E5F" w14:paraId="20F1A49F" w14:textId="77777777" w:rsidTr="000D6E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A5A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Tesorero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9C5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Francisco Cayetano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Sanchez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Rojas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3C5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Nestor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Mayorga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48B582A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Juan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C216CE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Juan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</w:tr>
      <w:tr w:rsidR="000D6E5F" w:rsidRPr="000D6E5F" w14:paraId="30A50237" w14:textId="77777777" w:rsidTr="000D6E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1BAF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Secretario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0344040F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741C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Liliana Oyuela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DF4D02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Jairo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9A39B7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Jairo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</w:tr>
      <w:tr w:rsidR="000D6E5F" w:rsidRPr="000D6E5F" w14:paraId="1D314177" w14:textId="77777777" w:rsidTr="000D6E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E90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Director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12657833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9C106DB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Jorge Mayorga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5D30E097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3724E350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</w:tr>
      <w:tr w:rsidR="000D6E5F" w:rsidRPr="000D6E5F" w14:paraId="527DBA2A" w14:textId="77777777" w:rsidTr="000D6E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E10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Director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865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Gerson Giovanni Blanco Ordoñez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774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Nestor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Mayorga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013209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Jairo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E95564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Jairo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</w:tr>
      <w:tr w:rsidR="000D6E5F" w:rsidRPr="000D6E5F" w14:paraId="0781E1A0" w14:textId="77777777" w:rsidTr="000D6E5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91F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Director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844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F8D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9AACC91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Juan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8769012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Juan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</w:p>
        </w:tc>
      </w:tr>
      <w:tr w:rsidR="000D6E5F" w:rsidRPr="000D6E5F" w14:paraId="5CA1E887" w14:textId="77777777" w:rsidTr="000D6E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DDC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Suscriptor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662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CO"/>
              </w:rPr>
            </w:pPr>
            <w:proofErr w:type="spellStart"/>
            <w:r w:rsidRPr="000D6E5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CO"/>
              </w:rPr>
              <w:t>Jose</w:t>
            </w:r>
            <w:proofErr w:type="spellEnd"/>
            <w:r w:rsidRPr="000D6E5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CO"/>
              </w:rPr>
              <w:t xml:space="preserve"> Eugenio Silva Ritter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6B33FB1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Jorge Arturo Mayorga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259F24B9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65508241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</w:tr>
      <w:tr w:rsidR="000D6E5F" w:rsidRPr="000D6E5F" w14:paraId="0809EC26" w14:textId="77777777" w:rsidTr="000D6E5F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8FB" w14:textId="77777777" w:rsidR="000D6E5F" w:rsidRPr="000D6E5F" w:rsidRDefault="000D6E5F" w:rsidP="000D6E5F">
            <w:pPr>
              <w:spacing w:after="0" w:line="240" w:lineRule="auto"/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lastRenderedPageBreak/>
              <w:t>Suscriptor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B47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Dianeth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Isabel Matos Ospino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373B"/>
            <w:vAlign w:val="center"/>
            <w:hideMark/>
          </w:tcPr>
          <w:p w14:paraId="1B657152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Miguel Alejandro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Calderon</w:t>
            </w:r>
            <w:proofErr w:type="spellEnd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Chatet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DB9180E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Jorge Arturo Mayorga Esguerra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0DC8C94" w14:textId="77777777" w:rsidR="000D6E5F" w:rsidRPr="000D6E5F" w:rsidRDefault="000D6E5F" w:rsidP="000D6E5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</w:pPr>
            <w:r w:rsidRPr="000D6E5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s-CO"/>
              </w:rPr>
              <w:t>Jorge Arturo Mayorga Esguerra</w:t>
            </w:r>
          </w:p>
        </w:tc>
      </w:tr>
    </w:tbl>
    <w:p w14:paraId="4307EC28" w14:textId="2B78CB73" w:rsidR="000D6E5F" w:rsidRPr="00070D0D" w:rsidRDefault="000D6E5F" w:rsidP="000D6E5F">
      <w:pPr>
        <w:rPr>
          <w:rFonts w:ascii="Georgia" w:hAnsi="Georgia" w:cs="Times New Roman"/>
          <w:b/>
          <w:bCs/>
          <w:sz w:val="24"/>
          <w:szCs w:val="24"/>
        </w:rPr>
      </w:pPr>
    </w:p>
    <w:p w14:paraId="5421B4D9" w14:textId="233BCCB2" w:rsidR="000D6E5F" w:rsidRPr="00070D0D" w:rsidRDefault="000D6E5F" w:rsidP="000D6E5F">
      <w:pPr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 xml:space="preserve">Algunos son: Jairo y Juan Calderón familia, padre y hermano respectivamente. Jorge Mayorga político de Sogamoso y los demás Mayorga familia probablemente. </w:t>
      </w:r>
    </w:p>
    <w:p w14:paraId="48288954" w14:textId="2319D5E5" w:rsidR="000D6E5F" w:rsidRPr="00070D0D" w:rsidRDefault="000D6E5F" w:rsidP="000D6E5F">
      <w:pPr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 xml:space="preserve">Los que más llaman la atención es José Eugenio Silva Ritter y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Dianeth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Isabel Matos Ospino, reconocidos en los escándalos de Panamá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Papers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. Silva Ritter fue el encargado de ir hasta la notaría en Panamá fundar Pegasus y poner a Calderón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Chatet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de </w:t>
      </w:r>
      <w:proofErr w:type="gramStart"/>
      <w:r w:rsidRPr="00070D0D">
        <w:rPr>
          <w:rFonts w:ascii="Georgia" w:hAnsi="Georgia" w:cs="Times New Roman"/>
          <w:sz w:val="24"/>
          <w:szCs w:val="24"/>
        </w:rPr>
        <w:t>Director</w:t>
      </w:r>
      <w:proofErr w:type="gramEnd"/>
      <w:r w:rsidRPr="00070D0D">
        <w:rPr>
          <w:rFonts w:ascii="Georgia" w:hAnsi="Georgia" w:cs="Times New Roman"/>
          <w:sz w:val="24"/>
          <w:szCs w:val="24"/>
        </w:rPr>
        <w:t>. Resultó ser un trabajador de oficios varios de la agencia Morgan y Morgan y con 25 mil sociedades a su nombre.</w:t>
      </w:r>
    </w:p>
    <w:p w14:paraId="1A6788A5" w14:textId="0B1258B9" w:rsidR="002C280A" w:rsidRPr="00070D0D" w:rsidRDefault="002C280A" w:rsidP="007B1444">
      <w:pPr>
        <w:rPr>
          <w:rFonts w:ascii="Georgia" w:hAnsi="Georgia" w:cs="Times New Roman"/>
          <w:b/>
          <w:bCs/>
          <w:sz w:val="24"/>
          <w:szCs w:val="24"/>
        </w:rPr>
      </w:pPr>
      <w:r w:rsidRPr="00070D0D">
        <w:rPr>
          <w:rFonts w:ascii="Georgia" w:hAnsi="Georgia" w:cs="Times New Roman"/>
          <w:b/>
          <w:bCs/>
          <w:sz w:val="24"/>
          <w:szCs w:val="24"/>
        </w:rPr>
        <w:t>Algunas acusaciones contra José Silva Ritter:</w:t>
      </w:r>
    </w:p>
    <w:p w14:paraId="506C35D1" w14:textId="08332B8F" w:rsidR="002C280A" w:rsidRPr="00070D0D" w:rsidRDefault="002C280A" w:rsidP="00070D0D">
      <w:pPr>
        <w:pStyle w:val="Prrafodelista"/>
        <w:numPr>
          <w:ilvl w:val="0"/>
          <w:numId w:val="10"/>
        </w:numPr>
        <w:ind w:left="426"/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>A mediados de 2015 la</w:t>
      </w:r>
      <w:r w:rsidRPr="00070D0D">
        <w:rPr>
          <w:rFonts w:ascii="Georgia" w:hAnsi="Georgia" w:cs="Times New Roman"/>
          <w:sz w:val="24"/>
          <w:szCs w:val="24"/>
        </w:rPr>
        <w:t xml:space="preserve"> Fis</w:t>
      </w:r>
      <w:r w:rsidRPr="00070D0D">
        <w:rPr>
          <w:rFonts w:ascii="Georgia" w:hAnsi="Georgia" w:cs="Times New Roman"/>
          <w:sz w:val="24"/>
          <w:szCs w:val="24"/>
        </w:rPr>
        <w:t xml:space="preserve">cal </w:t>
      </w:r>
      <w:r w:rsidRPr="00070D0D">
        <w:rPr>
          <w:rFonts w:ascii="Georgia" w:hAnsi="Georgia" w:cs="Times New Roman"/>
          <w:sz w:val="24"/>
          <w:szCs w:val="24"/>
        </w:rPr>
        <w:t xml:space="preserve">en Perú </w:t>
      </w:r>
      <w:r w:rsidRPr="00070D0D">
        <w:rPr>
          <w:rFonts w:ascii="Georgia" w:hAnsi="Georgia" w:cs="Times New Roman"/>
          <w:sz w:val="24"/>
          <w:szCs w:val="24"/>
        </w:rPr>
        <w:t>contra Lavado de Activos de Perú, Rosana Villar, interpuso una denuncia contra el expresidente Alejandro Toledo por la presunta comisión de corrupción durante su gestión, que fue canalizada a través de empresas creadas en Panamá por el bufete Morgan &amp; Morgan</w:t>
      </w:r>
      <w:r w:rsidRPr="00070D0D">
        <w:rPr>
          <w:rFonts w:ascii="Georgia" w:hAnsi="Georgia" w:cs="Times New Roman"/>
          <w:sz w:val="24"/>
          <w:szCs w:val="24"/>
        </w:rPr>
        <w:t>. La operación se habría dado a través de las firmas</w:t>
      </w:r>
      <w:r w:rsidRPr="00070D0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Milan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Ecotech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Consulting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Ecostate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Consulting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y que terminaron en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Ecoteva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Consulting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Group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. </w:t>
      </w:r>
      <w:r w:rsidRPr="00070D0D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Jose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Silva Ritter es el </w:t>
      </w:r>
      <w:r w:rsidRPr="00070D0D">
        <w:rPr>
          <w:rFonts w:ascii="Georgia" w:hAnsi="Georgia" w:cs="Times New Roman"/>
          <w:sz w:val="24"/>
          <w:szCs w:val="24"/>
        </w:rPr>
        <w:t>firmante</w:t>
      </w:r>
      <w:r w:rsidRPr="00070D0D">
        <w:rPr>
          <w:rFonts w:ascii="Georgia" w:hAnsi="Georgia" w:cs="Times New Roman"/>
          <w:sz w:val="24"/>
          <w:szCs w:val="24"/>
        </w:rPr>
        <w:t xml:space="preserve"> en estas compañías por lo que </w:t>
      </w:r>
      <w:r w:rsidRPr="00070D0D">
        <w:rPr>
          <w:rFonts w:ascii="Georgia" w:hAnsi="Georgia" w:cs="Times New Roman"/>
          <w:sz w:val="24"/>
          <w:szCs w:val="24"/>
        </w:rPr>
        <w:t>se vinculó al proceso</w:t>
      </w:r>
      <w:r w:rsidRPr="00070D0D">
        <w:rPr>
          <w:rFonts w:ascii="Georgia" w:hAnsi="Georgia" w:cs="Times New Roman"/>
          <w:sz w:val="24"/>
          <w:szCs w:val="24"/>
        </w:rPr>
        <w:t xml:space="preserve"> como socio de Toledo en la presunta red de corrupción.</w:t>
      </w:r>
    </w:p>
    <w:p w14:paraId="0CA2F88F" w14:textId="77777777" w:rsidR="000023E1" w:rsidRPr="00070D0D" w:rsidRDefault="000023E1" w:rsidP="00070D0D">
      <w:pPr>
        <w:pStyle w:val="Prrafodelista"/>
        <w:ind w:left="426"/>
        <w:jc w:val="both"/>
        <w:rPr>
          <w:rFonts w:ascii="Georgia" w:hAnsi="Georgia" w:cs="Times New Roman"/>
          <w:sz w:val="24"/>
          <w:szCs w:val="24"/>
        </w:rPr>
      </w:pPr>
    </w:p>
    <w:p w14:paraId="594E88A3" w14:textId="77777777" w:rsidR="00070D0D" w:rsidRDefault="002C280A" w:rsidP="00070D0D">
      <w:pPr>
        <w:pStyle w:val="Prrafodelista"/>
        <w:numPr>
          <w:ilvl w:val="0"/>
          <w:numId w:val="10"/>
        </w:numPr>
        <w:ind w:left="426"/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 xml:space="preserve">Ángeles Rato, hermana del político español del Partido Popular Rodrigo Rato, quien actualmente es imputado por el caso Bankia, acusado de fraude, alzamiento de bienes y blanqueo de capitales en ese país constituyó, con el bufete Morgan &amp; Morgan, la empresa Walden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Enterprises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Inc. </w:t>
      </w:r>
      <w:r w:rsidRPr="00070D0D">
        <w:rPr>
          <w:rFonts w:ascii="Georgia" w:hAnsi="Georgia" w:cs="Times New Roman"/>
          <w:sz w:val="24"/>
          <w:szCs w:val="24"/>
        </w:rPr>
        <w:t xml:space="preserve"> </w:t>
      </w:r>
      <w:r w:rsidRPr="00070D0D">
        <w:rPr>
          <w:rFonts w:ascii="Georgia" w:hAnsi="Georgia" w:cs="Times New Roman"/>
          <w:sz w:val="24"/>
          <w:szCs w:val="24"/>
        </w:rPr>
        <w:t>Ángeles Rato ha sido nombrada administradora única; constituida con un capital social de 10.000 dólares a través del bufete panameño Morgan&amp; Morgan, y que tiene como director a José Eugenio Silva Ritter</w:t>
      </w:r>
      <w:r w:rsidR="000023E1" w:rsidRPr="00070D0D">
        <w:rPr>
          <w:rFonts w:ascii="Georgia" w:hAnsi="Georgia" w:cs="Times New Roman"/>
          <w:sz w:val="24"/>
          <w:szCs w:val="24"/>
        </w:rPr>
        <w:t>.</w:t>
      </w:r>
    </w:p>
    <w:p w14:paraId="34DCB4C0" w14:textId="77777777" w:rsidR="00070D0D" w:rsidRPr="00070D0D" w:rsidRDefault="00070D0D" w:rsidP="00070D0D">
      <w:pPr>
        <w:pStyle w:val="Prrafodelista"/>
        <w:ind w:left="426"/>
        <w:rPr>
          <w:rFonts w:ascii="Georgia" w:hAnsi="Georgia" w:cs="Times New Roman"/>
          <w:sz w:val="24"/>
          <w:szCs w:val="24"/>
        </w:rPr>
      </w:pPr>
    </w:p>
    <w:p w14:paraId="29A1138C" w14:textId="4C119359" w:rsidR="000023E1" w:rsidRPr="00070D0D" w:rsidRDefault="000023E1" w:rsidP="00070D0D">
      <w:pPr>
        <w:pStyle w:val="Prrafodelista"/>
        <w:numPr>
          <w:ilvl w:val="0"/>
          <w:numId w:val="10"/>
        </w:numPr>
        <w:ind w:left="426"/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 xml:space="preserve">Los directores son panameños: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Dianeth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M. de Ospino, Martha de Saavedra y José E. Silva. Al indagar en estos nombres, se podría pensar que son prósperos millonarios, pues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Dianeth</w:t>
      </w:r>
      <w:proofErr w:type="spellEnd"/>
      <w:r w:rsidRPr="00070D0D">
        <w:rPr>
          <w:rFonts w:ascii="Georgia" w:hAnsi="Georgia" w:cs="Times New Roman"/>
          <w:sz w:val="24"/>
          <w:szCs w:val="24"/>
        </w:rPr>
        <w:t xml:space="preserve"> M. de Ospino figura como directora de más de 15.000 compañías, mientras que Silva aparece en más de 40.000. José Silva – que figura en el Registro Público de Panamá con las variantes José E. Silva, José Eugenio Silva y José Silva Ritter- es un panameño de mediana edad y campechano, que vive en los suburbios de la capital panameña y trabaja en Morgan &amp; Morgan justamente de eso: firma actas de empresas como director, pone el nombre público para algún accionista que queda oculto. Apareció en dos empresas vinculadas a casos de corrupción en Brasil </w:t>
      </w:r>
      <w:r w:rsidRPr="00070D0D">
        <w:rPr>
          <w:rFonts w:ascii="Georgia" w:hAnsi="Georgia" w:cs="Times New Roman"/>
          <w:sz w:val="24"/>
          <w:szCs w:val="24"/>
        </w:rPr>
        <w:t>caso Petrobras.</w:t>
      </w:r>
    </w:p>
    <w:p w14:paraId="3F99DF0B" w14:textId="694168F9" w:rsidR="000D6E5F" w:rsidRPr="00070D0D" w:rsidRDefault="000D6E5F" w:rsidP="000D6E5F">
      <w:pPr>
        <w:jc w:val="both"/>
        <w:rPr>
          <w:rFonts w:ascii="Georgia" w:hAnsi="Georgia" w:cs="Times New Roman"/>
          <w:sz w:val="24"/>
          <w:szCs w:val="24"/>
        </w:rPr>
      </w:pPr>
    </w:p>
    <w:p w14:paraId="79BC0C96" w14:textId="3AE7C22B" w:rsidR="000D6E5F" w:rsidRPr="00070D0D" w:rsidRDefault="000D6E5F" w:rsidP="00070D0D">
      <w:pPr>
        <w:pStyle w:val="nombrefuncionario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b/>
          <w:bCs/>
          <w:color w:val="000000"/>
        </w:rPr>
      </w:pPr>
      <w:r w:rsidRPr="00070D0D">
        <w:rPr>
          <w:rFonts w:ascii="Georgia" w:hAnsi="Georgia"/>
          <w:b/>
          <w:bCs/>
          <w:color w:val="000000"/>
        </w:rPr>
        <w:lastRenderedPageBreak/>
        <w:t xml:space="preserve">Las firmas del señor Calderón </w:t>
      </w:r>
      <w:proofErr w:type="spellStart"/>
      <w:r w:rsidRPr="00070D0D">
        <w:rPr>
          <w:rFonts w:ascii="Georgia" w:hAnsi="Georgia"/>
          <w:b/>
          <w:bCs/>
          <w:color w:val="000000"/>
        </w:rPr>
        <w:t>Chatet</w:t>
      </w:r>
      <w:proofErr w:type="spellEnd"/>
      <w:r w:rsidRPr="00070D0D">
        <w:rPr>
          <w:rFonts w:ascii="Georgia" w:hAnsi="Georgia"/>
          <w:b/>
          <w:bCs/>
          <w:color w:val="000000"/>
        </w:rPr>
        <w:t xml:space="preserve"> fueron suspendidas en Panamá -lo que no quita el carácter de existencia- por NO pagar impuestos. ¿Así va a gerenciar EPM?</w:t>
      </w:r>
    </w:p>
    <w:p w14:paraId="3E3BCD1B" w14:textId="77777777" w:rsidR="000D6E5F" w:rsidRPr="00070D0D" w:rsidRDefault="000D6E5F" w:rsidP="000D6E5F">
      <w:pPr>
        <w:pStyle w:val="nombrefuncionario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</w:rPr>
      </w:pPr>
    </w:p>
    <w:p w14:paraId="17384CF8" w14:textId="77777777" w:rsidR="000D6E5F" w:rsidRPr="00070D0D" w:rsidRDefault="000D6E5F" w:rsidP="000D6E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color w:val="000000"/>
          <w:sz w:val="24"/>
          <w:szCs w:val="24"/>
        </w:rPr>
        <w:t xml:space="preserve">En octubre del 2017 la </w:t>
      </w:r>
      <w:r w:rsidRPr="00070D0D">
        <w:rPr>
          <w:rFonts w:ascii="Georgia" w:hAnsi="Georgia" w:cs="Times New Roman"/>
          <w:sz w:val="24"/>
          <w:szCs w:val="24"/>
        </w:rPr>
        <w:t xml:space="preserve">Dirección General de Ingresos del Ministerio de Economía y Finanzas de Panamá notificó al Registro Público de Panamá que se ha elaborado una lista de personas jurídicas con una morosidad de tres (3) años en concepto de tasa única, y que la misma ha sido publicada en Gaceta Oficial, encontrándose dentro de la lista las personas jurídicas a las que pertenece Calderón </w:t>
      </w:r>
      <w:proofErr w:type="spellStart"/>
      <w:r w:rsidRPr="00070D0D">
        <w:rPr>
          <w:rFonts w:ascii="Georgia" w:hAnsi="Georgia" w:cs="Times New Roman"/>
          <w:sz w:val="24"/>
          <w:szCs w:val="24"/>
        </w:rPr>
        <w:t>Chatet</w:t>
      </w:r>
      <w:proofErr w:type="spellEnd"/>
      <w:r w:rsidRPr="00070D0D">
        <w:rPr>
          <w:rFonts w:ascii="Georgia" w:hAnsi="Georgia" w:cs="Times New Roman"/>
          <w:sz w:val="24"/>
          <w:szCs w:val="24"/>
        </w:rPr>
        <w:t>.</w:t>
      </w:r>
    </w:p>
    <w:p w14:paraId="65ED767F" w14:textId="77777777" w:rsidR="000D6E5F" w:rsidRPr="00070D0D" w:rsidRDefault="000D6E5F" w:rsidP="000D6E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1E7CD03" w14:textId="77777777" w:rsidR="000D6E5F" w:rsidRPr="00070D0D" w:rsidRDefault="000D6E5F" w:rsidP="000D6E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 w:cs="Times New Roman"/>
          <w:sz w:val="24"/>
          <w:szCs w:val="24"/>
        </w:rPr>
        <w:t>El 26 de noviembre de 2019 el Registro Público de Panamá le dio el “</w:t>
      </w:r>
      <w:proofErr w:type="gramStart"/>
      <w:r w:rsidRPr="00070D0D">
        <w:rPr>
          <w:rFonts w:ascii="Georgia" w:hAnsi="Georgia" w:cs="Times New Roman"/>
          <w:sz w:val="24"/>
          <w:szCs w:val="24"/>
        </w:rPr>
        <w:t>status</w:t>
      </w:r>
      <w:proofErr w:type="gramEnd"/>
      <w:r w:rsidRPr="00070D0D">
        <w:rPr>
          <w:rFonts w:ascii="Georgia" w:hAnsi="Georgia" w:cs="Times New Roman"/>
          <w:sz w:val="24"/>
          <w:szCs w:val="24"/>
        </w:rPr>
        <w:t>” de suspendidas a tales personerías jurídicas. La suspensión se trata de una limitante hasta que se ponga al día.</w:t>
      </w:r>
    </w:p>
    <w:p w14:paraId="14B0D4FE" w14:textId="77777777" w:rsidR="000D6E5F" w:rsidRPr="00070D0D" w:rsidRDefault="000D6E5F" w:rsidP="000D6E5F">
      <w:pPr>
        <w:pStyle w:val="Prrafodelista"/>
        <w:jc w:val="both"/>
        <w:rPr>
          <w:rFonts w:ascii="Georgia" w:hAnsi="Georgia" w:cs="Times New Roman"/>
          <w:sz w:val="24"/>
          <w:szCs w:val="24"/>
        </w:rPr>
      </w:pPr>
      <w:r w:rsidRPr="00070D0D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38874F" wp14:editId="08ABD6BE">
            <wp:simplePos x="0" y="0"/>
            <wp:positionH relativeFrom="margin">
              <wp:align>center</wp:align>
            </wp:positionH>
            <wp:positionV relativeFrom="paragraph">
              <wp:posOffset>219303</wp:posOffset>
            </wp:positionV>
            <wp:extent cx="6263005" cy="3957320"/>
            <wp:effectExtent l="0" t="0" r="4445" b="5080"/>
            <wp:wrapThrough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7D323" w14:textId="207253F8" w:rsidR="000D6E5F" w:rsidRPr="00070D0D" w:rsidRDefault="000D6E5F" w:rsidP="00070D0D">
      <w:pPr>
        <w:pStyle w:val="nombrefuncionario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b/>
          <w:bCs/>
          <w:color w:val="000000"/>
        </w:rPr>
      </w:pPr>
      <w:bookmarkStart w:id="0" w:name="_Hlk68801179"/>
      <w:r w:rsidRPr="00070D0D">
        <w:rPr>
          <w:rFonts w:ascii="Georgia" w:hAnsi="Georgia"/>
          <w:b/>
          <w:bCs/>
          <w:color w:val="000000"/>
        </w:rPr>
        <w:t xml:space="preserve">El señor Calderón </w:t>
      </w:r>
      <w:proofErr w:type="spellStart"/>
      <w:r w:rsidRPr="00070D0D">
        <w:rPr>
          <w:rFonts w:ascii="Georgia" w:hAnsi="Georgia"/>
          <w:b/>
          <w:bCs/>
          <w:color w:val="000000"/>
        </w:rPr>
        <w:t>Chatet</w:t>
      </w:r>
      <w:proofErr w:type="spellEnd"/>
      <w:r w:rsidRPr="00070D0D">
        <w:rPr>
          <w:rFonts w:ascii="Georgia" w:hAnsi="Georgia"/>
          <w:b/>
          <w:bCs/>
          <w:color w:val="000000"/>
        </w:rPr>
        <w:t xml:space="preserve"> está legalmente impedido para ser gerente de EPM</w:t>
      </w:r>
    </w:p>
    <w:p w14:paraId="7E9BCEC3" w14:textId="77777777" w:rsidR="000D6E5F" w:rsidRPr="00070D0D" w:rsidRDefault="000D6E5F" w:rsidP="000D6E5F">
      <w:pPr>
        <w:pStyle w:val="nombrefuncionario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</w:rPr>
      </w:pPr>
    </w:p>
    <w:p w14:paraId="3A580201" w14:textId="77777777" w:rsidR="000D6E5F" w:rsidRPr="00070D0D" w:rsidRDefault="000D6E5F" w:rsidP="00070D0D">
      <w:pPr>
        <w:pStyle w:val="nombrefuncionario"/>
        <w:numPr>
          <w:ilvl w:val="1"/>
          <w:numId w:val="3"/>
        </w:numPr>
        <w:spacing w:before="0" w:beforeAutospacing="0" w:after="0" w:afterAutospacing="0"/>
        <w:ind w:left="142"/>
        <w:jc w:val="both"/>
        <w:rPr>
          <w:rFonts w:ascii="Georgia" w:hAnsi="Georgia"/>
          <w:b/>
          <w:bCs/>
          <w:color w:val="000000"/>
        </w:rPr>
      </w:pPr>
      <w:r w:rsidRPr="00070D0D">
        <w:rPr>
          <w:rFonts w:ascii="Georgia" w:hAnsi="Georgia"/>
          <w:b/>
          <w:bCs/>
          <w:color w:val="000000"/>
        </w:rPr>
        <w:t xml:space="preserve"> Las firmas diligencias en Panamá Pegasus y C&amp;C, dónde tiene cargo de director y presidente tienen por objeto:</w:t>
      </w:r>
    </w:p>
    <w:p w14:paraId="5D51C13E" w14:textId="77777777" w:rsidR="000D6E5F" w:rsidRPr="00070D0D" w:rsidRDefault="000D6E5F" w:rsidP="000D6E5F">
      <w:pPr>
        <w:pStyle w:val="nombrefuncionario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</w:rPr>
      </w:pPr>
    </w:p>
    <w:p w14:paraId="246F6268" w14:textId="77777777" w:rsidR="000D6E5F" w:rsidRPr="00070D0D" w:rsidRDefault="000D6E5F" w:rsidP="000D6E5F">
      <w:pPr>
        <w:pStyle w:val="nombrefuncionario"/>
        <w:numPr>
          <w:ilvl w:val="0"/>
          <w:numId w:val="4"/>
        </w:numPr>
        <w:spacing w:before="0" w:beforeAutospacing="0" w:after="0" w:afterAutospacing="0"/>
        <w:ind w:left="993"/>
        <w:jc w:val="both"/>
        <w:rPr>
          <w:rFonts w:ascii="Georgia" w:hAnsi="Georgia"/>
          <w:b/>
          <w:bCs/>
          <w:color w:val="000000"/>
        </w:rPr>
      </w:pPr>
      <w:r w:rsidRPr="00070D0D">
        <w:rPr>
          <w:rFonts w:ascii="Georgia" w:hAnsi="Georgia"/>
          <w:b/>
          <w:bCs/>
          <w:color w:val="000000"/>
        </w:rPr>
        <w:t xml:space="preserve">PEGASUS GLOBAL MINNING S.A., apartado segundo inciso 5 de la escritura pública: </w:t>
      </w:r>
    </w:p>
    <w:p w14:paraId="601F056C" w14:textId="77777777" w:rsidR="000D6E5F" w:rsidRPr="00070D0D" w:rsidRDefault="000D6E5F" w:rsidP="000D6E5F">
      <w:pPr>
        <w:pStyle w:val="nombrefuncionario"/>
        <w:spacing w:before="0" w:beforeAutospacing="0" w:after="0" w:afterAutospacing="0"/>
        <w:ind w:left="993"/>
        <w:jc w:val="both"/>
        <w:rPr>
          <w:rFonts w:ascii="Georgia" w:hAnsi="Georgia"/>
          <w:color w:val="000000"/>
        </w:rPr>
      </w:pPr>
    </w:p>
    <w:p w14:paraId="211FF1AE" w14:textId="77777777" w:rsidR="000D6E5F" w:rsidRPr="00070D0D" w:rsidRDefault="000D6E5F" w:rsidP="000D6E5F">
      <w:pPr>
        <w:pStyle w:val="nombrefuncionario"/>
        <w:spacing w:before="0" w:beforeAutospacing="0" w:after="0" w:afterAutospacing="0"/>
        <w:ind w:left="993"/>
        <w:jc w:val="both"/>
        <w:rPr>
          <w:rFonts w:ascii="Georgia" w:hAnsi="Georgia"/>
          <w:i/>
          <w:iCs/>
          <w:color w:val="000000"/>
        </w:rPr>
      </w:pPr>
      <w:r w:rsidRPr="00070D0D">
        <w:rPr>
          <w:rFonts w:ascii="Georgia" w:hAnsi="Georgia"/>
          <w:i/>
          <w:iCs/>
          <w:color w:val="000000"/>
        </w:rPr>
        <w:lastRenderedPageBreak/>
        <w:t xml:space="preserve">“La compañía (…)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podrá desarrollar actividades relacionadas con la exploración, extracción, procesamiento y aprovechamiento de todo tipo de recursos renovables y no revocable</w:t>
      </w:r>
      <w:r w:rsidRPr="00070D0D">
        <w:rPr>
          <w:rFonts w:ascii="Georgia" w:hAnsi="Georgia"/>
          <w:i/>
          <w:iCs/>
          <w:color w:val="000000"/>
        </w:rPr>
        <w:t xml:space="preserve">, incluyendo, pero sin limitarse a carbón, níquel, uranio, oro, plata, petróleo crudo,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gas asociado o no asociado</w:t>
      </w:r>
      <w:r w:rsidRPr="00070D0D">
        <w:rPr>
          <w:rFonts w:ascii="Georgia" w:hAnsi="Georgia"/>
          <w:i/>
          <w:iCs/>
          <w:color w:val="000000"/>
        </w:rPr>
        <w:t xml:space="preserve">, y en general, realizar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todo tipo de actividades mineras petroleros y energéticas</w:t>
      </w:r>
      <w:r w:rsidRPr="00070D0D">
        <w:rPr>
          <w:rFonts w:ascii="Georgia" w:hAnsi="Georgia"/>
          <w:i/>
          <w:iCs/>
          <w:color w:val="000000"/>
        </w:rPr>
        <w:t>, en las áreas de operación, inversión y servicios”</w:t>
      </w:r>
    </w:p>
    <w:p w14:paraId="618753D6" w14:textId="77777777" w:rsidR="000D6E5F" w:rsidRPr="00070D0D" w:rsidRDefault="000D6E5F" w:rsidP="000D6E5F">
      <w:pPr>
        <w:pStyle w:val="nombrefuncionario"/>
        <w:spacing w:before="0" w:beforeAutospacing="0"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</w:p>
    <w:p w14:paraId="1FA8185A" w14:textId="77777777" w:rsidR="000D6E5F" w:rsidRPr="00070D0D" w:rsidRDefault="000D6E5F" w:rsidP="000D6E5F">
      <w:pPr>
        <w:pStyle w:val="nombrefuncionario"/>
        <w:numPr>
          <w:ilvl w:val="0"/>
          <w:numId w:val="4"/>
        </w:numPr>
        <w:spacing w:before="0" w:beforeAutospacing="0" w:after="0" w:afterAutospacing="0"/>
        <w:ind w:left="993"/>
        <w:jc w:val="both"/>
        <w:rPr>
          <w:rFonts w:ascii="Georgia" w:hAnsi="Georgia"/>
          <w:b/>
          <w:bCs/>
          <w:color w:val="000000"/>
        </w:rPr>
      </w:pPr>
      <w:r w:rsidRPr="00070D0D">
        <w:rPr>
          <w:rFonts w:ascii="Georgia" w:hAnsi="Georgia"/>
          <w:b/>
          <w:bCs/>
          <w:color w:val="000000"/>
        </w:rPr>
        <w:t xml:space="preserve">C&amp;C CONSULTING, INC, apartado segundo inciso J de la escritura pública: </w:t>
      </w:r>
    </w:p>
    <w:p w14:paraId="0EBB05D9" w14:textId="77777777" w:rsidR="000D6E5F" w:rsidRPr="00070D0D" w:rsidRDefault="000D6E5F" w:rsidP="000D6E5F">
      <w:pPr>
        <w:pStyle w:val="nombrefuncionario"/>
        <w:spacing w:before="0" w:beforeAutospacing="0" w:after="0" w:afterAutospacing="0"/>
        <w:ind w:left="993"/>
        <w:jc w:val="both"/>
        <w:rPr>
          <w:rFonts w:ascii="Georgia" w:hAnsi="Georgia"/>
          <w:color w:val="000000"/>
        </w:rPr>
      </w:pPr>
    </w:p>
    <w:p w14:paraId="37DBFE72" w14:textId="77777777" w:rsidR="000D6E5F" w:rsidRPr="00070D0D" w:rsidRDefault="000D6E5F" w:rsidP="000D6E5F">
      <w:pPr>
        <w:pStyle w:val="nombrefuncionario"/>
        <w:spacing w:before="0" w:beforeAutospacing="0" w:after="0" w:afterAutospacing="0"/>
        <w:ind w:left="993"/>
        <w:jc w:val="both"/>
        <w:rPr>
          <w:rFonts w:ascii="Georgia" w:hAnsi="Georgia"/>
          <w:i/>
          <w:iCs/>
          <w:color w:val="000000"/>
        </w:rPr>
      </w:pPr>
      <w:r w:rsidRPr="00070D0D">
        <w:rPr>
          <w:rFonts w:ascii="Georgia" w:hAnsi="Georgia"/>
          <w:i/>
          <w:iCs/>
          <w:color w:val="000000"/>
        </w:rPr>
        <w:t xml:space="preserve">“La compañía (…)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 xml:space="preserve">podrá dedicarse al negocio de prestación de </w:t>
      </w:r>
      <w:proofErr w:type="gramStart"/>
      <w:r w:rsidRPr="00070D0D">
        <w:rPr>
          <w:rFonts w:ascii="Georgia" w:hAnsi="Georgia"/>
          <w:b/>
          <w:bCs/>
          <w:i/>
          <w:iCs/>
          <w:color w:val="000000"/>
          <w:u w:val="single"/>
        </w:rPr>
        <w:t>cualesquier servicio</w:t>
      </w:r>
      <w:proofErr w:type="gramEnd"/>
      <w:r w:rsidRPr="00070D0D">
        <w:rPr>
          <w:rFonts w:ascii="Georgia" w:hAnsi="Georgia"/>
          <w:i/>
          <w:iCs/>
          <w:color w:val="000000"/>
        </w:rPr>
        <w:t>, comercio al por mayor y/o por menor, comprar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, vender, distribuir, transportar</w:t>
      </w:r>
      <w:r w:rsidRPr="00070D0D">
        <w:rPr>
          <w:rFonts w:ascii="Georgia" w:hAnsi="Georgia"/>
          <w:i/>
          <w:iCs/>
          <w:color w:val="000000"/>
        </w:rPr>
        <w:t xml:space="preserve">, importar y exportar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toda clase de</w:t>
      </w:r>
      <w:r w:rsidRPr="00070D0D">
        <w:rPr>
          <w:rFonts w:ascii="Georgia" w:hAnsi="Georgia"/>
          <w:i/>
          <w:iCs/>
          <w:color w:val="000000"/>
        </w:rPr>
        <w:t xml:space="preserve">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artículos, mercancías y bienes</w:t>
      </w:r>
      <w:r w:rsidRPr="00070D0D">
        <w:rPr>
          <w:rFonts w:ascii="Georgia" w:hAnsi="Georgia"/>
          <w:i/>
          <w:iCs/>
          <w:color w:val="000000"/>
        </w:rPr>
        <w:t xml:space="preserve"> en general y/o realizar inversiones en todas sus ramificaciones”</w:t>
      </w:r>
    </w:p>
    <w:p w14:paraId="5A5DC277" w14:textId="77777777" w:rsidR="00070D0D" w:rsidRDefault="00070D0D" w:rsidP="00070D0D">
      <w:pPr>
        <w:pStyle w:val="nombrefuncionario"/>
        <w:spacing w:before="0" w:beforeAutospacing="0" w:after="0" w:afterAutospacing="0"/>
        <w:jc w:val="both"/>
        <w:rPr>
          <w:rFonts w:ascii="Georgia" w:hAnsi="Georgia"/>
          <w:i/>
          <w:iCs/>
          <w:color w:val="000000"/>
        </w:rPr>
      </w:pPr>
    </w:p>
    <w:p w14:paraId="2B8634C2" w14:textId="2606FF26" w:rsidR="000D6E5F" w:rsidRPr="00070D0D" w:rsidRDefault="000D6E5F" w:rsidP="00070D0D">
      <w:pPr>
        <w:pStyle w:val="nombrefuncionario"/>
        <w:numPr>
          <w:ilvl w:val="1"/>
          <w:numId w:val="3"/>
        </w:numPr>
        <w:spacing w:before="0" w:beforeAutospacing="0" w:after="0" w:afterAutospacing="0"/>
        <w:ind w:left="0" w:hanging="426"/>
        <w:jc w:val="both"/>
        <w:rPr>
          <w:rFonts w:ascii="Georgia" w:hAnsi="Georgia"/>
          <w:b/>
          <w:bCs/>
          <w:color w:val="000000"/>
        </w:rPr>
      </w:pPr>
      <w:r w:rsidRPr="00070D0D">
        <w:rPr>
          <w:rFonts w:ascii="Georgia" w:hAnsi="Georgia"/>
          <w:b/>
          <w:bCs/>
          <w:color w:val="000000"/>
        </w:rPr>
        <w:t xml:space="preserve"> Según el certificado de existencia y representación legal expedido por la Cámara de Comercio de Bogotá el 6 de abril para la empresa C&amp;C GOLD S.A.S. Calderón </w:t>
      </w:r>
      <w:proofErr w:type="spellStart"/>
      <w:r w:rsidRPr="00070D0D">
        <w:rPr>
          <w:rFonts w:ascii="Georgia" w:hAnsi="Georgia"/>
          <w:b/>
          <w:bCs/>
          <w:color w:val="000000"/>
        </w:rPr>
        <w:t>Chatet</w:t>
      </w:r>
      <w:proofErr w:type="spellEnd"/>
      <w:r w:rsidRPr="00070D0D">
        <w:rPr>
          <w:rFonts w:ascii="Georgia" w:hAnsi="Georgia"/>
          <w:b/>
          <w:bCs/>
          <w:color w:val="000000"/>
        </w:rPr>
        <w:t xml:space="preserve"> era su representante legal y tiene por objeto:</w:t>
      </w:r>
    </w:p>
    <w:p w14:paraId="56A2B4BE" w14:textId="77777777" w:rsidR="000D6E5F" w:rsidRPr="00070D0D" w:rsidRDefault="000D6E5F" w:rsidP="000D6E5F">
      <w:pPr>
        <w:pStyle w:val="nombrefuncionario"/>
        <w:spacing w:before="0" w:beforeAutospacing="0" w:after="0" w:afterAutospacing="0"/>
        <w:ind w:left="720"/>
        <w:jc w:val="both"/>
        <w:rPr>
          <w:rFonts w:ascii="Georgia" w:hAnsi="Georgia"/>
          <w:b/>
          <w:bCs/>
          <w:color w:val="000000"/>
        </w:rPr>
      </w:pPr>
    </w:p>
    <w:p w14:paraId="3AFCB4B1" w14:textId="77777777" w:rsidR="000D6E5F" w:rsidRPr="00070D0D" w:rsidRDefault="000D6E5F" w:rsidP="000D6E5F">
      <w:pPr>
        <w:pStyle w:val="nombrefuncionario"/>
        <w:numPr>
          <w:ilvl w:val="0"/>
          <w:numId w:val="5"/>
        </w:numPr>
        <w:spacing w:before="0" w:beforeAutospacing="0" w:after="0" w:afterAutospacing="0"/>
        <w:jc w:val="both"/>
        <w:rPr>
          <w:rFonts w:ascii="Georgia" w:hAnsi="Georgia"/>
          <w:i/>
          <w:iCs/>
          <w:color w:val="000000"/>
        </w:rPr>
      </w:pPr>
      <w:r w:rsidRPr="00070D0D">
        <w:rPr>
          <w:rFonts w:ascii="Georgia" w:hAnsi="Georgia"/>
          <w:i/>
          <w:iCs/>
          <w:color w:val="000000"/>
        </w:rPr>
        <w:t xml:space="preserve">“Brindar asesorías y consultorías a empresas públicas y privadas, nacionales o extranjeras en temas administrativos, comerciales, financieros, legales, tributarios. Representar en el territorio colombiano o en el exterior, empresas de cualquier industria.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Prestar servicios a empresas del sector petrolero, de transporte y minero-energético en aspectos técnicos</w:t>
      </w:r>
      <w:r w:rsidRPr="00070D0D">
        <w:rPr>
          <w:rFonts w:ascii="Georgia" w:hAnsi="Georgia"/>
          <w:i/>
          <w:iCs/>
          <w:color w:val="000000"/>
        </w:rPr>
        <w:t xml:space="preserve">. Participar en todo tipo de licitaciones públicas y privadas de orden nacional y extranjero.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Importar, exportar, distribuir y comercializar mercancías en general y todo tipo de servicios</w:t>
      </w:r>
      <w:r w:rsidRPr="00070D0D">
        <w:rPr>
          <w:rFonts w:ascii="Georgia" w:hAnsi="Georgia"/>
          <w:i/>
          <w:iCs/>
          <w:color w:val="000000"/>
        </w:rPr>
        <w:t>. La construcción, compraventa y administración de bienes inmuebles propios o ajenos. La sociedad queda facultada para realizar todo acto encaminado al desarrollo de su objeto social para lo cual se puede asociar, absorber o fusionar con otras para el desarrollo de su gestión.”</w:t>
      </w:r>
    </w:p>
    <w:p w14:paraId="0BACB1B6" w14:textId="77777777" w:rsidR="000D6E5F" w:rsidRPr="00070D0D" w:rsidRDefault="000D6E5F" w:rsidP="000D6E5F">
      <w:pPr>
        <w:pStyle w:val="nombrefuncionario"/>
        <w:spacing w:before="0" w:beforeAutospacing="0" w:after="0" w:afterAutospacing="0"/>
        <w:jc w:val="both"/>
        <w:rPr>
          <w:rFonts w:ascii="Georgia" w:hAnsi="Georgia"/>
          <w:i/>
          <w:iCs/>
          <w:color w:val="000000"/>
        </w:rPr>
      </w:pPr>
    </w:p>
    <w:p w14:paraId="7B2A4A90" w14:textId="77777777" w:rsidR="000D6E5F" w:rsidRPr="00070D0D" w:rsidRDefault="000D6E5F" w:rsidP="00070D0D">
      <w:pPr>
        <w:pStyle w:val="nombrefuncionario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rFonts w:ascii="Georgia" w:hAnsi="Georgia"/>
          <w:b/>
          <w:bCs/>
          <w:color w:val="000000"/>
        </w:rPr>
      </w:pPr>
      <w:r w:rsidRPr="00070D0D">
        <w:rPr>
          <w:rFonts w:ascii="Georgia" w:hAnsi="Georgia"/>
          <w:b/>
          <w:bCs/>
          <w:color w:val="000000"/>
        </w:rPr>
        <w:t xml:space="preserve"> El objeto legal definido en el acuerdo municipal No 12. De 1998 del Concejo de Medellín y por medio del cual se establecen los estatutos de EPM se define como:</w:t>
      </w:r>
    </w:p>
    <w:p w14:paraId="207B600A" w14:textId="77777777" w:rsidR="000D6E5F" w:rsidRPr="00070D0D" w:rsidRDefault="000D6E5F" w:rsidP="000D6E5F">
      <w:pPr>
        <w:pStyle w:val="nombrefuncionario"/>
        <w:spacing w:before="0" w:beforeAutospacing="0" w:after="0" w:afterAutospacing="0"/>
        <w:ind w:left="720"/>
        <w:jc w:val="both"/>
        <w:rPr>
          <w:rFonts w:ascii="Georgia" w:hAnsi="Georgia"/>
          <w:b/>
          <w:bCs/>
          <w:color w:val="000000"/>
        </w:rPr>
      </w:pPr>
    </w:p>
    <w:p w14:paraId="38201E80" w14:textId="77777777" w:rsidR="000D6E5F" w:rsidRPr="00070D0D" w:rsidRDefault="000D6E5F" w:rsidP="000D6E5F">
      <w:pPr>
        <w:pStyle w:val="nombrefuncionario"/>
        <w:numPr>
          <w:ilvl w:val="0"/>
          <w:numId w:val="6"/>
        </w:numPr>
        <w:spacing w:before="0" w:beforeAutospacing="0" w:after="0" w:afterAutospacing="0"/>
        <w:jc w:val="both"/>
        <w:rPr>
          <w:rFonts w:ascii="Georgia" w:hAnsi="Georgia"/>
          <w:i/>
          <w:iCs/>
          <w:color w:val="000000"/>
        </w:rPr>
      </w:pPr>
      <w:r w:rsidRPr="00070D0D">
        <w:rPr>
          <w:rFonts w:ascii="Georgia" w:hAnsi="Georgia"/>
          <w:i/>
          <w:iCs/>
          <w:color w:val="000000"/>
        </w:rPr>
        <w:t xml:space="preserve">“Las EMPRESAS PÚBLICAS DE MEDELLÍN E.S.P tiene como objeto </w:t>
      </w:r>
      <w:r w:rsidRPr="00070D0D">
        <w:rPr>
          <w:rFonts w:ascii="Georgia" w:hAnsi="Georgia"/>
          <w:b/>
          <w:bCs/>
          <w:i/>
          <w:iCs/>
          <w:color w:val="000000"/>
        </w:rPr>
        <w:t xml:space="preserve">social la prestación de los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servicios</w:t>
      </w:r>
      <w:r w:rsidRPr="00070D0D">
        <w:rPr>
          <w:rFonts w:ascii="Georgia" w:hAnsi="Georgia"/>
          <w:b/>
          <w:bCs/>
          <w:i/>
          <w:iCs/>
          <w:color w:val="000000"/>
        </w:rPr>
        <w:t xml:space="preserve"> públicos domiciliarios</w:t>
      </w:r>
      <w:r w:rsidRPr="00070D0D">
        <w:rPr>
          <w:rFonts w:ascii="Georgia" w:hAnsi="Georgia"/>
          <w:i/>
          <w:iCs/>
          <w:color w:val="000000"/>
        </w:rPr>
        <w:t xml:space="preserve"> de acueducto, alcantarillado, </w:t>
      </w:r>
      <w:r w:rsidRPr="00070D0D">
        <w:rPr>
          <w:rFonts w:ascii="Georgia" w:hAnsi="Georgia"/>
          <w:b/>
          <w:bCs/>
          <w:i/>
          <w:iCs/>
          <w:color w:val="000000"/>
          <w:u w:val="single"/>
        </w:rPr>
        <w:t>energía y distribución de gas combustible</w:t>
      </w:r>
      <w:r w:rsidRPr="00070D0D">
        <w:rPr>
          <w:rFonts w:ascii="Georgia" w:hAnsi="Georgia"/>
          <w:i/>
          <w:iCs/>
          <w:color w:val="000000"/>
        </w:rPr>
        <w:t>, telefonía fija pública básica conmutada y telefonía local móvil en el rural, y demás servicios de telecomunicaciones…”</w:t>
      </w:r>
    </w:p>
    <w:p w14:paraId="433ED730" w14:textId="77777777" w:rsidR="000D6E5F" w:rsidRPr="00070D0D" w:rsidRDefault="000D6E5F" w:rsidP="000D6E5F">
      <w:pPr>
        <w:pStyle w:val="nombrefuncionario"/>
        <w:spacing w:before="0" w:beforeAutospacing="0" w:after="0" w:afterAutospacing="0"/>
        <w:jc w:val="both"/>
        <w:rPr>
          <w:rFonts w:ascii="Georgia" w:hAnsi="Georgia"/>
          <w:i/>
          <w:iCs/>
          <w:color w:val="000000"/>
        </w:rPr>
      </w:pPr>
    </w:p>
    <w:p w14:paraId="5CD2193D" w14:textId="77777777" w:rsidR="000D6E5F" w:rsidRPr="00070D0D" w:rsidRDefault="000D6E5F" w:rsidP="00070D0D">
      <w:pPr>
        <w:pStyle w:val="nombrefuncionario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rFonts w:ascii="Georgia" w:hAnsi="Georgia"/>
          <w:b/>
          <w:bCs/>
          <w:color w:val="000000"/>
        </w:rPr>
      </w:pPr>
      <w:r w:rsidRPr="00070D0D">
        <w:rPr>
          <w:rFonts w:ascii="Georgia" w:hAnsi="Georgia"/>
          <w:b/>
          <w:bCs/>
          <w:color w:val="000000"/>
        </w:rPr>
        <w:t xml:space="preserve">El anexo 8 del Código de Gobierno Corporativo de EPM respecto al MANUAL DE CONFLICTOS DE INTERES Y TRATAMIENTO DE </w:t>
      </w:r>
      <w:r w:rsidRPr="00070D0D">
        <w:rPr>
          <w:rFonts w:ascii="Georgia" w:hAnsi="Georgia"/>
          <w:b/>
          <w:bCs/>
          <w:color w:val="000000"/>
        </w:rPr>
        <w:lastRenderedPageBreak/>
        <w:t>DECISIONES EN INTERÉS DE GRUPO establece en su apartado 6 numeral inciso 2 establece algunas situaciones que pueden llegar a generar conflicto de intereses</w:t>
      </w:r>
    </w:p>
    <w:p w14:paraId="031F19F9" w14:textId="77777777" w:rsidR="000D6E5F" w:rsidRPr="00070D0D" w:rsidRDefault="000D6E5F" w:rsidP="000D6E5F">
      <w:pPr>
        <w:pStyle w:val="nombrefuncionario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</w:rPr>
      </w:pPr>
    </w:p>
    <w:p w14:paraId="5B340CA5" w14:textId="77777777" w:rsidR="000D6E5F" w:rsidRPr="00070D0D" w:rsidRDefault="000D6E5F" w:rsidP="000D6E5F">
      <w:pPr>
        <w:pStyle w:val="nombrefuncionario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/>
          <w:i/>
          <w:iCs/>
          <w:color w:val="000000"/>
        </w:rPr>
      </w:pPr>
      <w:r w:rsidRPr="00070D0D">
        <w:rPr>
          <w:rFonts w:ascii="Georgia" w:hAnsi="Georgia"/>
          <w:i/>
          <w:iCs/>
          <w:color w:val="000000"/>
        </w:rPr>
        <w:t xml:space="preserve">“Intereses en otras empresas o negocios: En el evento en que el administrador, el servidor, o sus familiares, tenga vínculos económicos con una empresa que desarrolle actividades comprometidas dentro del objeto social de la empresa para la cual presta sus servicios o de sus subordinadas. </w:t>
      </w:r>
    </w:p>
    <w:p w14:paraId="76D5EFB4" w14:textId="77777777" w:rsidR="000D6E5F" w:rsidRPr="00070D0D" w:rsidRDefault="000D6E5F" w:rsidP="000D6E5F">
      <w:pPr>
        <w:pStyle w:val="nombrefuncionario"/>
        <w:spacing w:before="0" w:beforeAutospacing="0" w:after="0" w:afterAutospacing="0"/>
        <w:ind w:left="720"/>
        <w:jc w:val="both"/>
        <w:rPr>
          <w:rFonts w:ascii="Georgia" w:hAnsi="Georgia"/>
          <w:i/>
          <w:iCs/>
          <w:color w:val="000000"/>
        </w:rPr>
      </w:pPr>
    </w:p>
    <w:p w14:paraId="0D6505EF" w14:textId="25B1B073" w:rsidR="000D6E5F" w:rsidRDefault="000D6E5F" w:rsidP="00070D0D">
      <w:pPr>
        <w:pStyle w:val="nombrefuncionario"/>
        <w:spacing w:before="0" w:beforeAutospacing="0" w:after="0" w:afterAutospacing="0"/>
        <w:ind w:left="720"/>
        <w:jc w:val="both"/>
        <w:rPr>
          <w:rFonts w:ascii="Georgia" w:hAnsi="Georgia"/>
          <w:i/>
          <w:iCs/>
          <w:color w:val="000000"/>
        </w:rPr>
      </w:pPr>
      <w:r w:rsidRPr="00070D0D">
        <w:rPr>
          <w:rFonts w:ascii="Georgia" w:hAnsi="Georgia"/>
          <w:i/>
          <w:iCs/>
          <w:color w:val="000000"/>
        </w:rPr>
        <w:t>Así mismo, cuando tenga participación directa o indirecta en una empresa u organización (como socio, accionista, propietario, empleado, proveedor, asesor o consultor) que esté relacionada con la gestión cargo o función que desempeña.</w:t>
      </w:r>
      <w:bookmarkEnd w:id="0"/>
    </w:p>
    <w:p w14:paraId="445C9D83" w14:textId="30137A8A" w:rsidR="00070D0D" w:rsidRDefault="00070D0D" w:rsidP="00070D0D">
      <w:pPr>
        <w:pStyle w:val="nombrefuncionario"/>
        <w:spacing w:before="0" w:beforeAutospacing="0" w:after="0" w:afterAutospacing="0"/>
        <w:jc w:val="both"/>
        <w:rPr>
          <w:rFonts w:ascii="Georgia" w:hAnsi="Georgia"/>
          <w:i/>
          <w:iCs/>
          <w:color w:val="000000"/>
        </w:rPr>
      </w:pPr>
    </w:p>
    <w:p w14:paraId="7650D2B3" w14:textId="26476844" w:rsidR="00070D0D" w:rsidRPr="00070D0D" w:rsidRDefault="00070D0D" w:rsidP="00070D0D">
      <w:pPr>
        <w:pStyle w:val="nombrefuncionario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070D0D">
        <w:rPr>
          <w:rFonts w:ascii="Georgia" w:hAnsi="Georgia"/>
          <w:b/>
          <w:bCs/>
          <w:color w:val="000000"/>
          <w:sz w:val="28"/>
          <w:szCs w:val="28"/>
        </w:rPr>
        <w:t>Esta denuncia se sustenta en documentos oficiales del Gobierno de Panamá que reposan en nuestro poder y que corresponden a escrituras públicas, certificados, notificaciones y registros</w:t>
      </w:r>
    </w:p>
    <w:sectPr w:rsidR="00070D0D" w:rsidRPr="00070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32B"/>
    <w:multiLevelType w:val="multilevel"/>
    <w:tmpl w:val="9B06AE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D82A01"/>
    <w:multiLevelType w:val="hybridMultilevel"/>
    <w:tmpl w:val="B89497B8"/>
    <w:lvl w:ilvl="0" w:tplc="5BB49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A5370"/>
    <w:multiLevelType w:val="hybridMultilevel"/>
    <w:tmpl w:val="1876D7CA"/>
    <w:lvl w:ilvl="0" w:tplc="8BFEF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F2EA8"/>
    <w:multiLevelType w:val="hybridMultilevel"/>
    <w:tmpl w:val="D60050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7549"/>
    <w:multiLevelType w:val="hybridMultilevel"/>
    <w:tmpl w:val="53E265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B5E"/>
    <w:multiLevelType w:val="hybridMultilevel"/>
    <w:tmpl w:val="BABA2A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7527"/>
    <w:multiLevelType w:val="multilevel"/>
    <w:tmpl w:val="40BE2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8D2AF3"/>
    <w:multiLevelType w:val="hybridMultilevel"/>
    <w:tmpl w:val="79A2D8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FC8"/>
    <w:multiLevelType w:val="hybridMultilevel"/>
    <w:tmpl w:val="C03AE4BA"/>
    <w:lvl w:ilvl="0" w:tplc="457620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E6436"/>
    <w:multiLevelType w:val="hybridMultilevel"/>
    <w:tmpl w:val="4D867F5A"/>
    <w:lvl w:ilvl="0" w:tplc="2E40B5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A"/>
    <w:rsid w:val="000023E1"/>
    <w:rsid w:val="00070D0D"/>
    <w:rsid w:val="000D6E5F"/>
    <w:rsid w:val="002C280A"/>
    <w:rsid w:val="007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6391"/>
  <w15:chartTrackingRefBased/>
  <w15:docId w15:val="{EA937179-D8F9-4425-8368-1EC13D58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80A"/>
    <w:pPr>
      <w:ind w:left="720"/>
      <w:contextualSpacing/>
    </w:pPr>
  </w:style>
  <w:style w:type="table" w:customStyle="1" w:styleId="TableGrid">
    <w:name w:val="TableGrid"/>
    <w:rsid w:val="000023E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14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1444"/>
    <w:rPr>
      <w:color w:val="605E5C"/>
      <w:shd w:val="clear" w:color="auto" w:fill="E1DFDD"/>
    </w:rPr>
  </w:style>
  <w:style w:type="paragraph" w:customStyle="1" w:styleId="nombrefuncionario">
    <w:name w:val="nombre_funcionario"/>
    <w:basedOn w:val="Normal"/>
    <w:rsid w:val="000D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x2.mef.gob.pa/etax2web/Login.aspx#" TargetMode="External"/><Relationship Id="rId5" Type="http://schemas.openxmlformats.org/officeDocument/2006/relationships/hyperlink" Target="https://registro-publico.gob.p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AndresM Trigos</dc:creator>
  <cp:keywords/>
  <dc:description/>
  <cp:lastModifiedBy>AndresM Trigos</cp:lastModifiedBy>
  <cp:revision>1</cp:revision>
  <dcterms:created xsi:type="dcterms:W3CDTF">2021-04-10T03:02:00Z</dcterms:created>
  <dcterms:modified xsi:type="dcterms:W3CDTF">2021-04-10T04:02:00Z</dcterms:modified>
</cp:coreProperties>
</file>